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2C38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186273EB">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57AA3A5" w14:textId="479D4BF9" w:rsidR="00B6048B" w:rsidRDefault="00990A3A" w:rsidP="009C0C27">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6414CB">
        <w:rPr>
          <w:rFonts w:ascii="Times New Roman" w:eastAsia="Times New Roman" w:hAnsi="Times New Roman" w:cs="Times New Roman"/>
          <w:b/>
          <w:sz w:val="30"/>
          <w:szCs w:val="30"/>
        </w:rPr>
        <w:t>Fourth</w:t>
      </w:r>
      <w:r w:rsidR="00230875">
        <w:rPr>
          <w:rFonts w:ascii="Times New Roman" w:eastAsia="Times New Roman" w:hAnsi="Times New Roman" w:cs="Times New Roman"/>
          <w:b/>
          <w:sz w:val="30"/>
          <w:szCs w:val="30"/>
        </w:rPr>
        <w:t xml:space="preserve"> </w:t>
      </w:r>
      <w:r w:rsidR="00060BE1">
        <w:rPr>
          <w:rFonts w:ascii="Times New Roman" w:eastAsia="Times New Roman" w:hAnsi="Times New Roman" w:cs="Times New Roman"/>
          <w:b/>
          <w:sz w:val="30"/>
          <w:szCs w:val="30"/>
        </w:rPr>
        <w:t>Quarter</w:t>
      </w:r>
      <w:r w:rsidR="00A9788C">
        <w:rPr>
          <w:rFonts w:ascii="Times New Roman" w:eastAsia="Times New Roman" w:hAnsi="Times New Roman" w:cs="Times New Roman"/>
          <w:b/>
          <w:sz w:val="30"/>
          <w:szCs w:val="30"/>
        </w:rPr>
        <w:t xml:space="preserve"> 20</w:t>
      </w:r>
      <w:r w:rsidR="00142F84">
        <w:rPr>
          <w:rFonts w:ascii="Times New Roman" w:eastAsia="Times New Roman" w:hAnsi="Times New Roman" w:cs="Times New Roman"/>
          <w:b/>
          <w:sz w:val="30"/>
          <w:szCs w:val="30"/>
        </w:rPr>
        <w:t>20</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E70C4A">
        <w:rPr>
          <w:rFonts w:ascii="Times New Roman" w:eastAsia="Times New Roman" w:hAnsi="Times New Roman" w:cs="Times New Roman"/>
          <w:sz w:val="27"/>
          <w:szCs w:val="27"/>
        </w:rPr>
        <w:t xml:space="preserve">WETHERSFIELD, </w:t>
      </w:r>
      <w:r w:rsidR="006414CB">
        <w:rPr>
          <w:rFonts w:ascii="Times New Roman" w:eastAsia="Times New Roman" w:hAnsi="Times New Roman" w:cs="Times New Roman"/>
          <w:sz w:val="27"/>
          <w:szCs w:val="27"/>
        </w:rPr>
        <w:t>July 28</w:t>
      </w:r>
      <w:r w:rsidR="00230875" w:rsidRPr="00230875">
        <w:rPr>
          <w:rFonts w:ascii="Times New Roman" w:eastAsia="Times New Roman" w:hAnsi="Times New Roman" w:cs="Times New Roman"/>
          <w:sz w:val="27"/>
          <w:szCs w:val="27"/>
          <w:vertAlign w:val="superscript"/>
        </w:rPr>
        <w:t>th</w:t>
      </w:r>
      <w:r w:rsidR="00842AE0">
        <w:rPr>
          <w:rFonts w:ascii="Times New Roman" w:eastAsia="Times New Roman" w:hAnsi="Times New Roman" w:cs="Times New Roman"/>
          <w:sz w:val="27"/>
          <w:szCs w:val="27"/>
        </w:rPr>
        <w:t>, 20</w:t>
      </w:r>
      <w:r w:rsidR="00B46F5A">
        <w:rPr>
          <w:rFonts w:ascii="Times New Roman" w:eastAsia="Times New Roman" w:hAnsi="Times New Roman" w:cs="Times New Roman"/>
          <w:sz w:val="27"/>
          <w:szCs w:val="27"/>
        </w:rPr>
        <w:t>20</w:t>
      </w:r>
      <w:r w:rsidR="002D43D7" w:rsidRPr="00E70C4A">
        <w:rPr>
          <w:rFonts w:ascii="Times New Roman" w:eastAsia="Times New Roman" w:hAnsi="Times New Roman" w:cs="Times New Roman"/>
          <w:sz w:val="27"/>
          <w:szCs w:val="27"/>
        </w:rPr>
        <w:t xml:space="preserve"> - </w:t>
      </w:r>
      <w:r w:rsidR="006765A2" w:rsidRPr="00E70C4A">
        <w:rPr>
          <w:rFonts w:ascii="Times New Roman" w:eastAsia="Times New Roman" w:hAnsi="Times New Roman" w:cs="Times New Roman"/>
          <w:sz w:val="27"/>
          <w:szCs w:val="27"/>
        </w:rPr>
        <w:t>Business Employment Dynamics (BED) data published quarterly by</w:t>
      </w:r>
      <w:r w:rsidR="00147FED" w:rsidRPr="00E70C4A">
        <w:rPr>
          <w:rFonts w:ascii="Times New Roman" w:eastAsia="Times New Roman" w:hAnsi="Times New Roman" w:cs="Times New Roman"/>
          <w:sz w:val="27"/>
          <w:szCs w:val="27"/>
        </w:rPr>
        <w:t xml:space="preserve"> the Bureau of Labor Statistics tracks employment change </w:t>
      </w:r>
      <w:r w:rsidR="006765A2" w:rsidRPr="00E70C4A">
        <w:rPr>
          <w:rFonts w:ascii="Times New Roman" w:eastAsia="Times New Roman" w:hAnsi="Times New Roman" w:cs="Times New Roman"/>
          <w:sz w:val="27"/>
          <w:szCs w:val="27"/>
        </w:rPr>
        <w:t>at the establishment level and reveals the underlying dynamics of net employment change.</w:t>
      </w:r>
      <w:r w:rsidR="000B3C0E" w:rsidRPr="00E70C4A">
        <w:rPr>
          <w:rFonts w:ascii="Times New Roman" w:eastAsia="Times New Roman" w:hAnsi="Times New Roman" w:cs="Times New Roman"/>
          <w:sz w:val="27"/>
          <w:szCs w:val="27"/>
        </w:rPr>
        <w:t xml:space="preserve">  The data include</w:t>
      </w:r>
      <w:r w:rsidR="00147FED" w:rsidRPr="00E70C4A">
        <w:rPr>
          <w:rFonts w:ascii="Times New Roman" w:eastAsia="Times New Roman" w:hAnsi="Times New Roman" w:cs="Times New Roman"/>
          <w:sz w:val="27"/>
          <w:szCs w:val="27"/>
        </w:rPr>
        <w:t xml:space="preserve"> gross employment change, bus</w:t>
      </w:r>
      <w:r w:rsidR="000B3C0E" w:rsidRPr="00E70C4A">
        <w:rPr>
          <w:rFonts w:ascii="Times New Roman" w:eastAsia="Times New Roman" w:hAnsi="Times New Roman" w:cs="Times New Roman"/>
          <w:sz w:val="27"/>
          <w:szCs w:val="27"/>
        </w:rPr>
        <w:t>iness expansion/contraction, establishment birth/death, and is available at sector level.</w:t>
      </w:r>
      <w:r w:rsidR="003217F1" w:rsidRPr="00E70C4A">
        <w:rPr>
          <w:rFonts w:ascii="Times New Roman" w:eastAsia="Times New Roman" w:hAnsi="Times New Roman" w:cs="Times New Roman"/>
          <w:sz w:val="27"/>
          <w:szCs w:val="27"/>
        </w:rPr>
        <w:t xml:space="preserve"> </w:t>
      </w:r>
      <w:r w:rsidR="0040001C" w:rsidRPr="00E70C4A">
        <w:rPr>
          <w:rFonts w:ascii="Times New Roman" w:eastAsia="Times New Roman" w:hAnsi="Times New Roman" w:cs="Times New Roman"/>
          <w:sz w:val="27"/>
          <w:szCs w:val="27"/>
        </w:rPr>
        <w:br/>
      </w:r>
      <w:r w:rsidR="00BD50D9" w:rsidRPr="00E70C4A">
        <w:rPr>
          <w:rFonts w:ascii="Times New Roman" w:eastAsia="Times New Roman" w:hAnsi="Times New Roman" w:cs="Times New Roman"/>
          <w:sz w:val="27"/>
          <w:szCs w:val="27"/>
        </w:rPr>
        <w:br/>
      </w:r>
      <w:r w:rsidR="007C32D0" w:rsidRPr="00E70C4A">
        <w:rPr>
          <w:rFonts w:ascii="Times New Roman" w:eastAsia="Times New Roman" w:hAnsi="Times New Roman" w:cs="Times New Roman"/>
          <w:sz w:val="27"/>
          <w:szCs w:val="27"/>
        </w:rPr>
        <w:t>From</w:t>
      </w:r>
      <w:r w:rsidR="00177E30" w:rsidRPr="00E70C4A">
        <w:rPr>
          <w:rFonts w:ascii="Times New Roman" w:eastAsia="Times New Roman" w:hAnsi="Times New Roman" w:cs="Times New Roman"/>
          <w:sz w:val="27"/>
          <w:szCs w:val="27"/>
        </w:rPr>
        <w:t xml:space="preserve"> </w:t>
      </w:r>
      <w:r w:rsidR="006414CB">
        <w:rPr>
          <w:rFonts w:ascii="Times New Roman" w:eastAsia="Times New Roman" w:hAnsi="Times New Roman" w:cs="Times New Roman"/>
          <w:sz w:val="27"/>
          <w:szCs w:val="27"/>
        </w:rPr>
        <w:t>October</w:t>
      </w:r>
      <w:r w:rsidR="002673EC">
        <w:rPr>
          <w:rFonts w:ascii="Times New Roman" w:eastAsia="Times New Roman" w:hAnsi="Times New Roman" w:cs="Times New Roman"/>
          <w:sz w:val="27"/>
          <w:szCs w:val="27"/>
        </w:rPr>
        <w:t xml:space="preserve"> </w:t>
      </w:r>
      <w:r w:rsidR="005A60E0" w:rsidRPr="005A60E0">
        <w:rPr>
          <w:rFonts w:ascii="Times New Roman" w:eastAsia="Times New Roman" w:hAnsi="Times New Roman" w:cs="Times New Roman"/>
          <w:sz w:val="27"/>
          <w:szCs w:val="27"/>
        </w:rPr>
        <w:t>20</w:t>
      </w:r>
      <w:r w:rsidR="00142F84">
        <w:rPr>
          <w:rFonts w:ascii="Times New Roman" w:eastAsia="Times New Roman" w:hAnsi="Times New Roman" w:cs="Times New Roman"/>
          <w:sz w:val="27"/>
          <w:szCs w:val="27"/>
        </w:rPr>
        <w:t>20</w:t>
      </w:r>
      <w:r w:rsidR="00842AE0">
        <w:rPr>
          <w:rFonts w:ascii="Times New Roman" w:eastAsia="Times New Roman" w:hAnsi="Times New Roman" w:cs="Times New Roman"/>
          <w:sz w:val="27"/>
          <w:szCs w:val="27"/>
        </w:rPr>
        <w:t xml:space="preserve"> to </w:t>
      </w:r>
      <w:r w:rsidR="006414CB">
        <w:rPr>
          <w:rFonts w:ascii="Times New Roman" w:eastAsia="Times New Roman" w:hAnsi="Times New Roman" w:cs="Times New Roman"/>
          <w:sz w:val="27"/>
          <w:szCs w:val="27"/>
        </w:rPr>
        <w:t>December</w:t>
      </w:r>
      <w:r w:rsidR="00260A7E">
        <w:rPr>
          <w:rFonts w:ascii="Times New Roman" w:eastAsia="Times New Roman" w:hAnsi="Times New Roman" w:cs="Times New Roman"/>
          <w:sz w:val="27"/>
          <w:szCs w:val="27"/>
        </w:rPr>
        <w:t xml:space="preserve"> 20</w:t>
      </w:r>
      <w:r w:rsidR="00142F84">
        <w:rPr>
          <w:rFonts w:ascii="Times New Roman" w:eastAsia="Times New Roman" w:hAnsi="Times New Roman" w:cs="Times New Roman"/>
          <w:sz w:val="27"/>
          <w:szCs w:val="27"/>
        </w:rPr>
        <w:t>20</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gross job gains</w:t>
      </w:r>
      <w:r w:rsidR="006E2670" w:rsidRPr="00E70C4A">
        <w:rPr>
          <w:rFonts w:ascii="Times New Roman" w:eastAsia="Times New Roman" w:hAnsi="Times New Roman" w:cs="Times New Roman"/>
          <w:sz w:val="27"/>
          <w:szCs w:val="27"/>
        </w:rPr>
        <w:t xml:space="preserve"> from opening and expanding pr</w:t>
      </w:r>
      <w:r w:rsidR="008A71B4" w:rsidRPr="00E70C4A">
        <w:rPr>
          <w:rFonts w:ascii="Times New Roman" w:eastAsia="Times New Roman" w:hAnsi="Times New Roman" w:cs="Times New Roman"/>
          <w:sz w:val="27"/>
          <w:szCs w:val="27"/>
        </w:rPr>
        <w:t xml:space="preserve">ivate sector establishments </w:t>
      </w:r>
      <w:r w:rsidR="00033251" w:rsidRPr="00E70C4A">
        <w:rPr>
          <w:rFonts w:ascii="Times New Roman" w:eastAsia="Times New Roman" w:hAnsi="Times New Roman" w:cs="Times New Roman"/>
          <w:sz w:val="27"/>
          <w:szCs w:val="27"/>
        </w:rPr>
        <w:t xml:space="preserve">in Connecticut </w:t>
      </w:r>
      <w:r w:rsidR="008A71B4" w:rsidRPr="00E70C4A">
        <w:rPr>
          <w:rFonts w:ascii="Times New Roman" w:eastAsia="Times New Roman" w:hAnsi="Times New Roman" w:cs="Times New Roman"/>
          <w:sz w:val="27"/>
          <w:szCs w:val="27"/>
        </w:rPr>
        <w:t>was</w:t>
      </w:r>
      <w:r w:rsidR="006E2670" w:rsidRPr="00E70C4A">
        <w:rPr>
          <w:rFonts w:ascii="Times New Roman" w:eastAsia="Times New Roman" w:hAnsi="Times New Roman" w:cs="Times New Roman"/>
          <w:sz w:val="27"/>
          <w:szCs w:val="27"/>
        </w:rPr>
        <w:t xml:space="preserve"> </w:t>
      </w:r>
      <w:r w:rsidR="00724E27">
        <w:rPr>
          <w:rFonts w:ascii="Times New Roman" w:eastAsia="Times New Roman" w:hAnsi="Times New Roman" w:cs="Times New Roman"/>
          <w:sz w:val="27"/>
          <w:szCs w:val="27"/>
        </w:rPr>
        <w:t>87,068</w:t>
      </w:r>
      <w:r w:rsidR="00C91631">
        <w:rPr>
          <w:rFonts w:ascii="Times New Roman" w:eastAsia="Times New Roman" w:hAnsi="Times New Roman" w:cs="Times New Roman"/>
          <w:sz w:val="27"/>
          <w:szCs w:val="27"/>
        </w:rPr>
        <w:t>,</w:t>
      </w:r>
      <w:r w:rsidR="00942737" w:rsidRPr="00E70C4A">
        <w:rPr>
          <w:rFonts w:ascii="Times New Roman" w:eastAsia="Times New Roman" w:hAnsi="Times New Roman" w:cs="Times New Roman"/>
          <w:sz w:val="27"/>
          <w:szCs w:val="27"/>
        </w:rPr>
        <w:t xml:space="preserve"> a</w:t>
      </w:r>
      <w:r w:rsidR="00724E27">
        <w:rPr>
          <w:rFonts w:ascii="Times New Roman" w:eastAsia="Times New Roman" w:hAnsi="Times New Roman" w:cs="Times New Roman"/>
          <w:sz w:val="27"/>
          <w:szCs w:val="27"/>
        </w:rPr>
        <w:t xml:space="preserve"> de</w:t>
      </w:r>
      <w:r w:rsidR="00135EB6" w:rsidRPr="00E70C4A">
        <w:rPr>
          <w:rFonts w:ascii="Times New Roman" w:eastAsia="Times New Roman" w:hAnsi="Times New Roman" w:cs="Times New Roman"/>
          <w:sz w:val="27"/>
          <w:szCs w:val="27"/>
        </w:rPr>
        <w:t xml:space="preserve">crease of </w:t>
      </w:r>
      <w:r w:rsidR="00724E27">
        <w:rPr>
          <w:rFonts w:ascii="Times New Roman" w:eastAsia="Times New Roman" w:hAnsi="Times New Roman" w:cs="Times New Roman"/>
          <w:sz w:val="27"/>
          <w:szCs w:val="27"/>
        </w:rPr>
        <w:t>58</w:t>
      </w:r>
      <w:r w:rsidR="00382E0C">
        <w:rPr>
          <w:rFonts w:ascii="Times New Roman" w:eastAsia="Times New Roman" w:hAnsi="Times New Roman" w:cs="Times New Roman"/>
          <w:sz w:val="27"/>
          <w:szCs w:val="27"/>
        </w:rPr>
        <w:t>,</w:t>
      </w:r>
      <w:r w:rsidR="00724E27">
        <w:rPr>
          <w:rFonts w:ascii="Times New Roman" w:eastAsia="Times New Roman" w:hAnsi="Times New Roman" w:cs="Times New Roman"/>
          <w:sz w:val="27"/>
          <w:szCs w:val="27"/>
        </w:rPr>
        <w:t>797</w:t>
      </w:r>
      <w:r w:rsidR="006E2670" w:rsidRPr="00E70C4A">
        <w:rPr>
          <w:rFonts w:ascii="Times New Roman" w:eastAsia="Times New Roman" w:hAnsi="Times New Roman" w:cs="Times New Roman"/>
          <w:sz w:val="27"/>
          <w:szCs w:val="27"/>
        </w:rPr>
        <w:t xml:space="preserve"> jobs from the previous quarter</w:t>
      </w:r>
      <w:r w:rsidR="00D8500D">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Over this period, </w:t>
      </w:r>
      <w:r w:rsidR="006E2670" w:rsidRPr="00E70C4A">
        <w:rPr>
          <w:rFonts w:ascii="Times New Roman" w:eastAsia="Times New Roman" w:hAnsi="Times New Roman" w:cs="Times New Roman"/>
          <w:b/>
          <w:sz w:val="27"/>
          <w:szCs w:val="27"/>
        </w:rPr>
        <w:t>gross job losses</w:t>
      </w:r>
      <w:r w:rsidR="006E2670" w:rsidRPr="00E70C4A">
        <w:rPr>
          <w:rFonts w:ascii="Times New Roman" w:eastAsia="Times New Roman" w:hAnsi="Times New Roman" w:cs="Times New Roman"/>
          <w:sz w:val="27"/>
          <w:szCs w:val="27"/>
        </w:rPr>
        <w:t xml:space="preserve"> from closing and contracting private sector establishments </w:t>
      </w:r>
      <w:proofErr w:type="gramStart"/>
      <w:r w:rsidR="00120C3C" w:rsidRPr="00E70C4A">
        <w:rPr>
          <w:rFonts w:ascii="Times New Roman" w:eastAsia="Times New Roman" w:hAnsi="Times New Roman" w:cs="Times New Roman"/>
          <w:sz w:val="27"/>
          <w:szCs w:val="27"/>
        </w:rPr>
        <w:t>was</w:t>
      </w:r>
      <w:r w:rsidR="00917176">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 </w:t>
      </w:r>
      <w:r w:rsidR="00724E27">
        <w:rPr>
          <w:rFonts w:ascii="Times New Roman" w:eastAsia="Times New Roman" w:hAnsi="Times New Roman" w:cs="Times New Roman"/>
          <w:sz w:val="27"/>
          <w:szCs w:val="27"/>
        </w:rPr>
        <w:t>77,371</w:t>
      </w:r>
      <w:proofErr w:type="gramEnd"/>
      <w:r w:rsidR="00714CDA">
        <w:rPr>
          <w:rFonts w:ascii="Times New Roman" w:eastAsia="Times New Roman" w:hAnsi="Times New Roman" w:cs="Times New Roman"/>
          <w:sz w:val="27"/>
          <w:szCs w:val="27"/>
        </w:rPr>
        <w:t xml:space="preserve">, </w:t>
      </w:r>
      <w:r w:rsidR="00280927">
        <w:rPr>
          <w:rFonts w:ascii="Times New Roman" w:eastAsia="Times New Roman" w:hAnsi="Times New Roman" w:cs="Times New Roman"/>
          <w:sz w:val="27"/>
          <w:szCs w:val="27"/>
        </w:rPr>
        <w:t>a</w:t>
      </w:r>
      <w:r w:rsidR="00724E27">
        <w:rPr>
          <w:rFonts w:ascii="Times New Roman" w:eastAsia="Times New Roman" w:hAnsi="Times New Roman" w:cs="Times New Roman"/>
          <w:sz w:val="27"/>
          <w:szCs w:val="27"/>
        </w:rPr>
        <w:t>n in</w:t>
      </w:r>
      <w:r w:rsidR="00E950E5" w:rsidRPr="00E70C4A">
        <w:rPr>
          <w:rFonts w:ascii="Times New Roman" w:eastAsia="Times New Roman" w:hAnsi="Times New Roman" w:cs="Times New Roman"/>
          <w:sz w:val="27"/>
          <w:szCs w:val="27"/>
        </w:rPr>
        <w:t>c</w:t>
      </w:r>
      <w:r w:rsidR="002D0151" w:rsidRPr="00E70C4A">
        <w:rPr>
          <w:rFonts w:ascii="Times New Roman" w:eastAsia="Times New Roman" w:hAnsi="Times New Roman" w:cs="Times New Roman"/>
          <w:sz w:val="27"/>
          <w:szCs w:val="27"/>
        </w:rPr>
        <w:t xml:space="preserve">rease </w:t>
      </w:r>
      <w:r w:rsidR="007A3266">
        <w:rPr>
          <w:rFonts w:ascii="Times New Roman" w:eastAsia="Times New Roman" w:hAnsi="Times New Roman" w:cs="Times New Roman"/>
          <w:sz w:val="27"/>
          <w:szCs w:val="27"/>
        </w:rPr>
        <w:t>of</w:t>
      </w:r>
      <w:r w:rsidR="00382E0C">
        <w:rPr>
          <w:rFonts w:ascii="Times New Roman" w:eastAsia="Times New Roman" w:hAnsi="Times New Roman" w:cs="Times New Roman"/>
          <w:sz w:val="27"/>
          <w:szCs w:val="27"/>
        </w:rPr>
        <w:t xml:space="preserve"> 1</w:t>
      </w:r>
      <w:r w:rsidR="00724E27">
        <w:rPr>
          <w:rFonts w:ascii="Times New Roman" w:eastAsia="Times New Roman" w:hAnsi="Times New Roman" w:cs="Times New Roman"/>
          <w:sz w:val="27"/>
          <w:szCs w:val="27"/>
        </w:rPr>
        <w:t>0,905</w:t>
      </w:r>
      <w:r w:rsidR="00520D02">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jobs from the previous quarter. </w:t>
      </w:r>
      <w:r w:rsidR="008E78F9">
        <w:rPr>
          <w:rFonts w:ascii="Times New Roman" w:eastAsia="Times New Roman" w:hAnsi="Times New Roman" w:cs="Times New Roman"/>
          <w:sz w:val="27"/>
          <w:szCs w:val="27"/>
        </w:rPr>
        <w:br/>
      </w:r>
      <w:r w:rsidR="00520D02">
        <w:rPr>
          <w:rFonts w:ascii="Times New Roman" w:eastAsia="Times New Roman" w:hAnsi="Times New Roman" w:cs="Times New Roman"/>
          <w:sz w:val="27"/>
          <w:szCs w:val="27"/>
        </w:rPr>
        <w:br/>
        <w:t xml:space="preserve">During the </w:t>
      </w:r>
      <w:r w:rsidR="00724E27">
        <w:rPr>
          <w:rFonts w:ascii="Times New Roman" w:eastAsia="Times New Roman" w:hAnsi="Times New Roman" w:cs="Times New Roman"/>
          <w:sz w:val="27"/>
          <w:szCs w:val="27"/>
        </w:rPr>
        <w:t>fourth</w:t>
      </w:r>
      <w:r w:rsidR="00B03A07">
        <w:rPr>
          <w:rFonts w:ascii="Times New Roman" w:eastAsia="Times New Roman" w:hAnsi="Times New Roman" w:cs="Times New Roman"/>
          <w:sz w:val="27"/>
          <w:szCs w:val="27"/>
        </w:rPr>
        <w:t xml:space="preserve"> quarter</w:t>
      </w:r>
      <w:r w:rsidR="00520D02">
        <w:rPr>
          <w:rFonts w:ascii="Times New Roman" w:eastAsia="Times New Roman" w:hAnsi="Times New Roman" w:cs="Times New Roman"/>
          <w:sz w:val="27"/>
          <w:szCs w:val="27"/>
        </w:rPr>
        <w:t xml:space="preserve"> of 20</w:t>
      </w:r>
      <w:r w:rsidR="00142F84">
        <w:rPr>
          <w:rFonts w:ascii="Times New Roman" w:eastAsia="Times New Roman" w:hAnsi="Times New Roman" w:cs="Times New Roman"/>
          <w:sz w:val="27"/>
          <w:szCs w:val="27"/>
        </w:rPr>
        <w:t>20</w:t>
      </w:r>
      <w:r w:rsidR="00D729B1">
        <w:rPr>
          <w:rFonts w:ascii="Times New Roman" w:eastAsia="Times New Roman" w:hAnsi="Times New Roman" w:cs="Times New Roman"/>
          <w:sz w:val="27"/>
          <w:szCs w:val="27"/>
        </w:rPr>
        <w:t>,</w:t>
      </w:r>
      <w:r w:rsidR="006E2670" w:rsidRPr="00E70C4A">
        <w:rPr>
          <w:rFonts w:ascii="Times New Roman" w:eastAsia="Times New Roman" w:hAnsi="Times New Roman" w:cs="Times New Roman"/>
          <w:sz w:val="27"/>
          <w:szCs w:val="27"/>
        </w:rPr>
        <w:t xml:space="preserve"> </w:t>
      </w:r>
      <w:r w:rsidR="00516C85" w:rsidRPr="00E70C4A">
        <w:rPr>
          <w:rFonts w:ascii="Times New Roman" w:eastAsia="Times New Roman" w:hAnsi="Times New Roman" w:cs="Times New Roman"/>
          <w:sz w:val="27"/>
          <w:szCs w:val="27"/>
        </w:rPr>
        <w:t>difference between gross job gains and</w:t>
      </w:r>
      <w:r w:rsidR="006E2670" w:rsidRPr="00E70C4A">
        <w:rPr>
          <w:rFonts w:ascii="Times New Roman" w:eastAsia="Times New Roman" w:hAnsi="Times New Roman" w:cs="Times New Roman"/>
          <w:sz w:val="27"/>
          <w:szCs w:val="27"/>
        </w:rPr>
        <w:t xml:space="preserve"> gross job losses </w:t>
      </w:r>
      <w:r w:rsidR="00A6186F">
        <w:rPr>
          <w:rFonts w:ascii="Times New Roman" w:eastAsia="Times New Roman" w:hAnsi="Times New Roman" w:cs="Times New Roman"/>
          <w:sz w:val="27"/>
          <w:szCs w:val="27"/>
        </w:rPr>
        <w:t>yield</w:t>
      </w:r>
      <w:r w:rsidR="00D729B1">
        <w:rPr>
          <w:rFonts w:ascii="Times New Roman" w:eastAsia="Times New Roman" w:hAnsi="Times New Roman" w:cs="Times New Roman"/>
          <w:sz w:val="27"/>
          <w:szCs w:val="27"/>
        </w:rPr>
        <w:t>ed</w:t>
      </w:r>
      <w:r w:rsidR="00D94108" w:rsidRPr="00E70C4A">
        <w:rPr>
          <w:rFonts w:ascii="Times New Roman" w:eastAsia="Times New Roman" w:hAnsi="Times New Roman" w:cs="Times New Roman"/>
          <w:sz w:val="27"/>
          <w:szCs w:val="27"/>
        </w:rPr>
        <w:t xml:space="preserve"> a </w:t>
      </w:r>
      <w:r w:rsidR="00D94108" w:rsidRPr="00E70C4A">
        <w:rPr>
          <w:rFonts w:ascii="Times New Roman" w:eastAsia="Times New Roman" w:hAnsi="Times New Roman" w:cs="Times New Roman"/>
          <w:b/>
          <w:sz w:val="27"/>
          <w:szCs w:val="27"/>
        </w:rPr>
        <w:t>net</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employment</w:t>
      </w:r>
      <w:r w:rsidR="00E23735">
        <w:rPr>
          <w:rFonts w:ascii="Times New Roman" w:eastAsia="Times New Roman" w:hAnsi="Times New Roman" w:cs="Times New Roman"/>
          <w:b/>
          <w:sz w:val="27"/>
          <w:szCs w:val="27"/>
        </w:rPr>
        <w:t xml:space="preserve"> </w:t>
      </w:r>
      <w:r w:rsidR="00382E0C">
        <w:rPr>
          <w:rFonts w:ascii="Times New Roman" w:eastAsia="Times New Roman" w:hAnsi="Times New Roman" w:cs="Times New Roman"/>
          <w:b/>
          <w:sz w:val="27"/>
          <w:szCs w:val="27"/>
        </w:rPr>
        <w:t>gain</w:t>
      </w:r>
      <w:r w:rsidR="002D0151" w:rsidRPr="00E70C4A">
        <w:rPr>
          <w:rFonts w:ascii="Times New Roman" w:eastAsia="Times New Roman" w:hAnsi="Times New Roman" w:cs="Times New Roman"/>
          <w:sz w:val="27"/>
          <w:szCs w:val="27"/>
        </w:rPr>
        <w:t xml:space="preserve"> o</w:t>
      </w:r>
      <w:r w:rsidR="00724E27">
        <w:rPr>
          <w:rFonts w:ascii="Times New Roman" w:eastAsia="Times New Roman" w:hAnsi="Times New Roman" w:cs="Times New Roman"/>
          <w:sz w:val="27"/>
          <w:szCs w:val="27"/>
        </w:rPr>
        <w:t>f 9,697</w:t>
      </w:r>
      <w:r w:rsidR="006E2670" w:rsidRPr="00E70C4A">
        <w:rPr>
          <w:rFonts w:ascii="Times New Roman" w:eastAsia="Times New Roman" w:hAnsi="Times New Roman" w:cs="Times New Roman"/>
          <w:sz w:val="27"/>
          <w:szCs w:val="27"/>
        </w:rPr>
        <w:t xml:space="preserve"> jobs i</w:t>
      </w:r>
      <w:r w:rsidR="00D729B1">
        <w:rPr>
          <w:rFonts w:ascii="Times New Roman" w:eastAsia="Times New Roman" w:hAnsi="Times New Roman" w:cs="Times New Roman"/>
          <w:sz w:val="27"/>
          <w:szCs w:val="27"/>
        </w:rPr>
        <w:t>n the private sector</w:t>
      </w:r>
      <w:r w:rsidR="005A3C8B" w:rsidRPr="00E70C4A">
        <w:rPr>
          <w:rFonts w:ascii="Times New Roman" w:eastAsia="Times New Roman" w:hAnsi="Times New Roman" w:cs="Times New Roman"/>
          <w:sz w:val="27"/>
          <w:szCs w:val="27"/>
        </w:rPr>
        <w:t>.</w:t>
      </w:r>
      <w:r w:rsidR="00A96094" w:rsidRPr="00E70C4A">
        <w:rPr>
          <w:rFonts w:ascii="Times New Roman" w:eastAsia="Times New Roman" w:hAnsi="Times New Roman" w:cs="Times New Roman"/>
          <w:sz w:val="27"/>
          <w:szCs w:val="27"/>
        </w:rPr>
        <w:t xml:space="preserve">  </w:t>
      </w:r>
      <w:r w:rsidR="00B13F20">
        <w:rPr>
          <w:rFonts w:ascii="Times New Roman" w:eastAsia="Times New Roman" w:hAnsi="Times New Roman" w:cs="Times New Roman"/>
          <w:sz w:val="27"/>
          <w:szCs w:val="27"/>
        </w:rPr>
        <w:t>This</w:t>
      </w:r>
      <w:r w:rsidR="00382E0C">
        <w:rPr>
          <w:rFonts w:ascii="Times New Roman" w:eastAsia="Times New Roman" w:hAnsi="Times New Roman" w:cs="Times New Roman"/>
          <w:sz w:val="27"/>
          <w:szCs w:val="27"/>
        </w:rPr>
        <w:t xml:space="preserve"> net increase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follows a </w:t>
      </w:r>
      <w:proofErr w:type="gramStart"/>
      <w:r w:rsidR="00724E27">
        <w:rPr>
          <w:rFonts w:ascii="Times New Roman" w:eastAsia="Times New Roman" w:hAnsi="Times New Roman" w:cs="Times New Roman"/>
          <w:sz w:val="27"/>
          <w:szCs w:val="27"/>
        </w:rPr>
        <w:t>79,399</w:t>
      </w:r>
      <w:r w:rsidR="00382E0C">
        <w:rPr>
          <w:rFonts w:ascii="Times New Roman" w:eastAsia="Times New Roman" w:hAnsi="Times New Roman" w:cs="Times New Roman"/>
          <w:sz w:val="27"/>
          <w:szCs w:val="27"/>
        </w:rPr>
        <w:t xml:space="preserve"> net</w:t>
      </w:r>
      <w:proofErr w:type="gramEnd"/>
      <w:r w:rsidR="00382E0C">
        <w:rPr>
          <w:rFonts w:ascii="Times New Roman" w:eastAsia="Times New Roman" w:hAnsi="Times New Roman" w:cs="Times New Roman"/>
          <w:sz w:val="27"/>
          <w:szCs w:val="27"/>
        </w:rPr>
        <w:t xml:space="preserve"> </w:t>
      </w:r>
      <w:r w:rsidR="00724E27">
        <w:rPr>
          <w:rFonts w:ascii="Times New Roman" w:eastAsia="Times New Roman" w:hAnsi="Times New Roman" w:cs="Times New Roman"/>
          <w:sz w:val="27"/>
          <w:szCs w:val="27"/>
        </w:rPr>
        <w:t>in</w:t>
      </w:r>
      <w:r w:rsidR="00382E0C">
        <w:rPr>
          <w:rFonts w:ascii="Times New Roman" w:eastAsia="Times New Roman" w:hAnsi="Times New Roman" w:cs="Times New Roman"/>
          <w:sz w:val="27"/>
          <w:szCs w:val="27"/>
        </w:rPr>
        <w:t>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during the </w:t>
      </w:r>
      <w:r w:rsidR="00724E27">
        <w:rPr>
          <w:rFonts w:ascii="Times New Roman" w:eastAsia="Times New Roman" w:hAnsi="Times New Roman" w:cs="Times New Roman"/>
          <w:sz w:val="27"/>
          <w:szCs w:val="27"/>
        </w:rPr>
        <w:t>third</w:t>
      </w:r>
      <w:r w:rsidR="00382E0C">
        <w:rPr>
          <w:rFonts w:ascii="Times New Roman" w:eastAsia="Times New Roman" w:hAnsi="Times New Roman" w:cs="Times New Roman"/>
          <w:sz w:val="27"/>
          <w:szCs w:val="27"/>
        </w:rPr>
        <w:t xml:space="preserve"> quarter of 2020, when </w:t>
      </w:r>
      <w:r w:rsidR="00724E27">
        <w:rPr>
          <w:rFonts w:ascii="Times New Roman" w:eastAsia="Times New Roman" w:hAnsi="Times New Roman" w:cs="Times New Roman"/>
          <w:sz w:val="27"/>
          <w:szCs w:val="27"/>
        </w:rPr>
        <w:t>many initial pandemic mitigation policies were lifted</w:t>
      </w:r>
      <w:r w:rsidR="00B6048B">
        <w:rPr>
          <w:rFonts w:ascii="Times New Roman" w:eastAsia="Times New Roman" w:hAnsi="Times New Roman" w:cs="Times New Roman"/>
          <w:sz w:val="27"/>
          <w:szCs w:val="27"/>
        </w:rPr>
        <w:t>.</w:t>
      </w:r>
    </w:p>
    <w:p w14:paraId="4602FA50" w14:textId="1C33E94B" w:rsidR="00403826" w:rsidRPr="006B7D0D" w:rsidRDefault="00D729B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7"/>
          <w:szCs w:val="27"/>
        </w:rPr>
        <w:br/>
      </w:r>
      <w:r w:rsidR="00714CDA" w:rsidRPr="00714CDA">
        <w:rPr>
          <w:rFonts w:ascii="Times New Roman" w:eastAsia="Times New Roman" w:hAnsi="Times New Roman" w:cs="Times New Roman"/>
          <w:sz w:val="27"/>
          <w:szCs w:val="27"/>
        </w:rPr>
        <w:t xml:space="preserve">Prior to the </w:t>
      </w:r>
      <w:r w:rsidR="00714CDA">
        <w:rPr>
          <w:rFonts w:ascii="Times New Roman" w:eastAsia="Times New Roman" w:hAnsi="Times New Roman" w:cs="Times New Roman"/>
          <w:sz w:val="27"/>
          <w:szCs w:val="27"/>
        </w:rPr>
        <w:t>current</w:t>
      </w:r>
      <w:r w:rsidR="00714CDA" w:rsidRPr="00714CDA">
        <w:rPr>
          <w:rFonts w:ascii="Times New Roman" w:eastAsia="Times New Roman" w:hAnsi="Times New Roman" w:cs="Times New Roman"/>
          <w:sz w:val="27"/>
          <w:szCs w:val="27"/>
        </w:rPr>
        <w:t xml:space="preserve"> recession, annual average net change was -2,939 in 2019 and positive from 2010-2018.  During the last recession it fell precipitously to a</w:t>
      </w:r>
      <w:r w:rsidR="00714CDA">
        <w:rPr>
          <w:rFonts w:ascii="Times New Roman" w:eastAsia="Times New Roman" w:hAnsi="Times New Roman" w:cs="Times New Roman"/>
          <w:sz w:val="27"/>
          <w:szCs w:val="27"/>
        </w:rPr>
        <w:t xml:space="preserve"> </w:t>
      </w:r>
      <w:r w:rsidR="00714CDA" w:rsidRPr="00714CDA">
        <w:rPr>
          <w:rFonts w:ascii="Times New Roman" w:eastAsia="Times New Roman" w:hAnsi="Times New Roman" w:cs="Times New Roman"/>
          <w:sz w:val="27"/>
          <w:szCs w:val="27"/>
        </w:rPr>
        <w:t>low of -15,445 jobs in 2009.</w:t>
      </w:r>
      <w:r w:rsidR="00714CDA">
        <w:rPr>
          <w:rFonts w:ascii="Times New Roman" w:eastAsia="Times New Roman" w:hAnsi="Times New Roman" w:cs="Times New Roman"/>
          <w:sz w:val="27"/>
          <w:szCs w:val="27"/>
        </w:rPr>
        <w:t xml:space="preserve">  Before that from 2004-2007, annual average net change ranged between 1,534 and 4,190 jobs.</w:t>
      </w:r>
      <w:r w:rsidR="00714CDA" w:rsidRPr="00714CDA">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sidR="0040001C" w:rsidRPr="00E70C4A">
        <w:rPr>
          <w:rFonts w:ascii="Times New Roman" w:eastAsia="Times New Roman" w:hAnsi="Times New Roman" w:cs="Times New Roman"/>
          <w:sz w:val="27"/>
          <w:szCs w:val="27"/>
        </w:rPr>
        <w:br/>
      </w:r>
      <w:r w:rsidR="003217F1">
        <w:rPr>
          <w:rFonts w:ascii="Times New Roman" w:eastAsia="Times New Roman" w:hAnsi="Times New Roman" w:cs="Times New Roman"/>
          <w:sz w:val="28"/>
          <w:szCs w:val="28"/>
        </w:rPr>
        <w:t xml:space="preserve">                         </w:t>
      </w:r>
      <w:r w:rsidR="00724E27">
        <w:rPr>
          <w:noProof/>
        </w:rPr>
        <w:drawing>
          <wp:inline distT="0" distB="0" distL="0" distR="0" wp14:anchorId="6113A5B7" wp14:editId="167815D5">
            <wp:extent cx="4600575" cy="2913123"/>
            <wp:effectExtent l="0" t="0" r="9525" b="1905"/>
            <wp:docPr id="15" name="Chart 1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49AFB7" w14:textId="77777777" w:rsidR="00403826" w:rsidRPr="0040001C" w:rsidRDefault="00403826" w:rsidP="00403826">
      <w:pPr>
        <w:rPr>
          <w:rFonts w:ascii="Times New Roman" w:eastAsia="Times New Roman" w:hAnsi="Times New Roman" w:cs="Times New Roman"/>
          <w:sz w:val="30"/>
          <w:szCs w:val="30"/>
        </w:rPr>
      </w:pPr>
      <w:r w:rsidRPr="007A7078">
        <w:rPr>
          <w:rFonts w:ascii="Times New Roman" w:eastAsia="Times New Roman" w:hAnsi="Times New Roman" w:cs="Times New Roman"/>
          <w:sz w:val="28"/>
          <w:szCs w:val="28"/>
        </w:rPr>
        <w:lastRenderedPageBreak/>
        <w:t xml:space="preserve">The 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gains and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losses at the firm level by employer size class. </w:t>
      </w:r>
    </w:p>
    <w:p w14:paraId="3EBD595F" w14:textId="5D95089D" w:rsidR="00403826" w:rsidRDefault="00403826" w:rsidP="004038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br/>
      </w:r>
      <w:r w:rsidRPr="007A7078">
        <w:rPr>
          <w:rFonts w:ascii="Times New Roman" w:eastAsia="Times New Roman" w:hAnsi="Times New Roman" w:cs="Times New Roman"/>
          <w:sz w:val="28"/>
          <w:szCs w:val="28"/>
        </w:rPr>
        <w:t xml:space="preserve">Gross job gains at </w:t>
      </w:r>
      <w:r w:rsidRPr="007A7078">
        <w:rPr>
          <w:rFonts w:ascii="Times New Roman" w:eastAsia="Times New Roman" w:hAnsi="Times New Roman" w:cs="Times New Roman"/>
          <w:b/>
          <w:sz w:val="28"/>
          <w:szCs w:val="28"/>
        </w:rPr>
        <w:t>expanding</w:t>
      </w:r>
      <w:r w:rsidR="003B059E">
        <w:rPr>
          <w:rFonts w:ascii="Times New Roman" w:eastAsia="Times New Roman" w:hAnsi="Times New Roman" w:cs="Times New Roman"/>
          <w:sz w:val="28"/>
          <w:szCs w:val="28"/>
        </w:rPr>
        <w:t xml:space="preserve"> establishments totaled </w:t>
      </w:r>
      <w:r w:rsidR="00724E27">
        <w:rPr>
          <w:rFonts w:ascii="Times New Roman" w:eastAsia="Times New Roman" w:hAnsi="Times New Roman" w:cs="Times New Roman"/>
          <w:sz w:val="28"/>
          <w:szCs w:val="28"/>
        </w:rPr>
        <w:t>69,749</w:t>
      </w:r>
      <w:r w:rsidR="0027263E">
        <w:rPr>
          <w:rFonts w:ascii="Times New Roman" w:eastAsia="Times New Roman" w:hAnsi="Times New Roman" w:cs="Times New Roman"/>
          <w:sz w:val="28"/>
          <w:szCs w:val="28"/>
        </w:rPr>
        <w:t xml:space="preserve"> in the</w:t>
      </w:r>
      <w:r w:rsidR="00142F84">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fourth</w:t>
      </w:r>
      <w:r w:rsidR="00230875">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27263E">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20</w:t>
      </w:r>
      <w:r w:rsidR="002C5777">
        <w:rPr>
          <w:rFonts w:ascii="Times New Roman" w:eastAsia="Times New Roman" w:hAnsi="Times New Roman" w:cs="Times New Roman"/>
          <w:sz w:val="28"/>
          <w:szCs w:val="28"/>
        </w:rPr>
        <w:t xml:space="preserve">, </w:t>
      </w:r>
      <w:r w:rsidR="00E23735">
        <w:rPr>
          <w:rFonts w:ascii="Times New Roman" w:eastAsia="Times New Roman" w:hAnsi="Times New Roman" w:cs="Times New Roman"/>
          <w:sz w:val="28"/>
          <w:szCs w:val="28"/>
        </w:rPr>
        <w:t>a</w:t>
      </w:r>
      <w:r w:rsidR="00724E27">
        <w:rPr>
          <w:rFonts w:ascii="Times New Roman" w:eastAsia="Times New Roman" w:hAnsi="Times New Roman" w:cs="Times New Roman"/>
          <w:sz w:val="28"/>
          <w:szCs w:val="28"/>
        </w:rPr>
        <w:t xml:space="preserve"> de</w:t>
      </w:r>
      <w:r>
        <w:rPr>
          <w:rFonts w:ascii="Times New Roman" w:eastAsia="Times New Roman" w:hAnsi="Times New Roman" w:cs="Times New Roman"/>
          <w:sz w:val="28"/>
          <w:szCs w:val="28"/>
        </w:rPr>
        <w:t>crease of</w:t>
      </w:r>
      <w:r w:rsidR="002C5777">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50,074</w:t>
      </w:r>
      <w:r w:rsidR="00714CDA">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from the previous quarter.  </w:t>
      </w:r>
    </w:p>
    <w:p w14:paraId="011A6270" w14:textId="77777777" w:rsidR="00403826" w:rsidRDefault="00403826" w:rsidP="00403826">
      <w:pPr>
        <w:spacing w:after="0" w:line="240" w:lineRule="auto"/>
        <w:rPr>
          <w:rFonts w:ascii="Times New Roman" w:eastAsia="Times New Roman" w:hAnsi="Times New Roman" w:cs="Times New Roman"/>
          <w:sz w:val="30"/>
          <w:szCs w:val="30"/>
        </w:rPr>
      </w:pPr>
    </w:p>
    <w:p w14:paraId="6C3F1CC1" w14:textId="2A39ED9D"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b/>
          <w:sz w:val="28"/>
          <w:szCs w:val="28"/>
        </w:rPr>
        <w:t xml:space="preserve">Opening </w:t>
      </w:r>
      <w:r w:rsidRPr="007A7078">
        <w:rPr>
          <w:rFonts w:ascii="Times New Roman" w:eastAsia="Times New Roman" w:hAnsi="Times New Roman" w:cs="Times New Roman"/>
          <w:sz w:val="28"/>
          <w:szCs w:val="28"/>
        </w:rPr>
        <w:t>establishments accounted for</w:t>
      </w:r>
      <w:r w:rsidR="00B6048B">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17,319</w:t>
      </w:r>
      <w:r w:rsidR="00FC14A0">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gained in the </w:t>
      </w:r>
      <w:r w:rsidR="00724E27">
        <w:rPr>
          <w:rFonts w:ascii="Times New Roman" w:eastAsia="Times New Roman" w:hAnsi="Times New Roman" w:cs="Times New Roman"/>
          <w:sz w:val="28"/>
          <w:szCs w:val="28"/>
        </w:rPr>
        <w:t>fourth</w:t>
      </w:r>
      <w:r w:rsidR="00230875">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Pr="007A7078">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20</w:t>
      </w:r>
      <w:r w:rsidRPr="007A7078">
        <w:rPr>
          <w:rFonts w:ascii="Times New Roman" w:eastAsia="Times New Roman" w:hAnsi="Times New Roman" w:cs="Times New Roman"/>
          <w:sz w:val="28"/>
          <w:szCs w:val="28"/>
        </w:rPr>
        <w:t>, a</w:t>
      </w:r>
      <w:r w:rsidR="00724E27">
        <w:rPr>
          <w:rFonts w:ascii="Times New Roman" w:eastAsia="Times New Roman" w:hAnsi="Times New Roman" w:cs="Times New Roman"/>
          <w:sz w:val="28"/>
          <w:szCs w:val="28"/>
        </w:rPr>
        <w:t xml:space="preserve"> de</w:t>
      </w:r>
      <w:r w:rsidR="00CC47A4">
        <w:rPr>
          <w:rFonts w:ascii="Times New Roman" w:eastAsia="Times New Roman" w:hAnsi="Times New Roman" w:cs="Times New Roman"/>
          <w:sz w:val="28"/>
          <w:szCs w:val="28"/>
        </w:rPr>
        <w:t>crease</w:t>
      </w:r>
      <w:r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 xml:space="preserve">of </w:t>
      </w:r>
      <w:r w:rsidR="00724E27">
        <w:rPr>
          <w:rFonts w:ascii="Times New Roman" w:eastAsia="Times New Roman" w:hAnsi="Times New Roman" w:cs="Times New Roman"/>
          <w:sz w:val="28"/>
          <w:szCs w:val="28"/>
        </w:rPr>
        <w:t>8,723</w:t>
      </w:r>
      <w:r w:rsidR="00CC47A4">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from the previous quarter. </w:t>
      </w:r>
    </w:p>
    <w:p w14:paraId="4C3F0F8D"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1D4DB85A" w14:textId="392DFAB3" w:rsidR="00434063" w:rsidRDefault="00724E27" w:rsidP="00F92959">
      <w:pPr>
        <w:spacing w:after="0" w:line="240" w:lineRule="auto"/>
        <w:jc w:val="center"/>
        <w:rPr>
          <w:rFonts w:ascii="Times New Roman" w:eastAsia="Times New Roman" w:hAnsi="Times New Roman" w:cs="Times New Roman"/>
          <w:sz w:val="30"/>
          <w:szCs w:val="30"/>
        </w:rPr>
      </w:pPr>
      <w:r>
        <w:rPr>
          <w:noProof/>
        </w:rPr>
        <w:drawing>
          <wp:inline distT="0" distB="0" distL="0" distR="0" wp14:anchorId="3B2E92D8" wp14:editId="04C439C5">
            <wp:extent cx="5009030" cy="3206563"/>
            <wp:effectExtent l="0" t="0" r="1270" b="13335"/>
            <wp:docPr id="13" name="Chart 1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A6089F" w14:textId="77777777" w:rsidR="009B5C2E" w:rsidRPr="007A7078" w:rsidRDefault="009B5C2E" w:rsidP="002D73F8">
      <w:pPr>
        <w:spacing w:after="0" w:line="240" w:lineRule="auto"/>
        <w:rPr>
          <w:rFonts w:ascii="Times New Roman" w:eastAsia="Times New Roman" w:hAnsi="Times New Roman" w:cs="Times New Roman"/>
          <w:sz w:val="28"/>
          <w:szCs w:val="28"/>
        </w:rPr>
      </w:pPr>
    </w:p>
    <w:p w14:paraId="01A590E2" w14:textId="18F135A3" w:rsidR="002D73F8" w:rsidRPr="007A7078" w:rsidRDefault="007A7078" w:rsidP="002D73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Contracting</w:t>
      </w:r>
      <w:r w:rsidR="002D73F8"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establishments lost</w:t>
      </w:r>
      <w:r w:rsidR="00B6048B">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61,243</w:t>
      </w:r>
      <w:r w:rsidR="0021153A" w:rsidRPr="007A7078">
        <w:rPr>
          <w:rFonts w:ascii="Times New Roman" w:eastAsia="Times New Roman" w:hAnsi="Times New Roman" w:cs="Times New Roman"/>
          <w:sz w:val="28"/>
          <w:szCs w:val="28"/>
        </w:rPr>
        <w:t xml:space="preserve"> </w:t>
      </w:r>
      <w:r w:rsidR="002D73F8" w:rsidRPr="007A7078">
        <w:rPr>
          <w:rFonts w:ascii="Times New Roman" w:eastAsia="Times New Roman" w:hAnsi="Times New Roman" w:cs="Times New Roman"/>
          <w:sz w:val="28"/>
          <w:szCs w:val="28"/>
        </w:rPr>
        <w:t>jobs in the</w:t>
      </w:r>
      <w:r w:rsidR="00724E27">
        <w:rPr>
          <w:rFonts w:ascii="Times New Roman" w:eastAsia="Times New Roman" w:hAnsi="Times New Roman" w:cs="Times New Roman"/>
          <w:sz w:val="28"/>
          <w:szCs w:val="28"/>
        </w:rPr>
        <w:t xml:space="preserve"> fourth</w:t>
      </w:r>
      <w:r w:rsidR="00230875">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20</w:t>
      </w:r>
      <w:r w:rsidR="00B6048B">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up 10,813</w:t>
      </w:r>
      <w:r w:rsidR="00B6048B">
        <w:rPr>
          <w:rFonts w:ascii="Times New Roman" w:eastAsia="Times New Roman" w:hAnsi="Times New Roman" w:cs="Times New Roman"/>
          <w:sz w:val="28"/>
          <w:szCs w:val="28"/>
        </w:rPr>
        <w:t xml:space="preserve"> from the prior quarter </w:t>
      </w:r>
      <w:r w:rsidR="00724E27">
        <w:rPr>
          <w:rFonts w:ascii="Times New Roman" w:eastAsia="Times New Roman" w:hAnsi="Times New Roman" w:cs="Times New Roman"/>
          <w:sz w:val="28"/>
          <w:szCs w:val="28"/>
        </w:rPr>
        <w:t>but</w:t>
      </w:r>
      <w:r w:rsidR="00B6048B">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below fourth quarter 2019 levels.</w:t>
      </w:r>
    </w:p>
    <w:p w14:paraId="47B3EEC4" w14:textId="349B1132" w:rsidR="002D73F8" w:rsidRDefault="002D73F8" w:rsidP="002D73F8">
      <w:pPr>
        <w:spacing w:after="0" w:line="240" w:lineRule="auto"/>
        <w:rPr>
          <w:rFonts w:ascii="Times New Roman" w:eastAsia="Times New Roman" w:hAnsi="Times New Roman" w:cs="Times New Roman"/>
          <w:sz w:val="30"/>
          <w:szCs w:val="30"/>
        </w:rPr>
      </w:pPr>
    </w:p>
    <w:p w14:paraId="3BEF7665" w14:textId="77777777" w:rsidR="009512C8" w:rsidRPr="002D73F8" w:rsidRDefault="009512C8" w:rsidP="002D73F8">
      <w:pPr>
        <w:spacing w:after="0" w:line="240" w:lineRule="auto"/>
        <w:rPr>
          <w:rFonts w:ascii="Times New Roman" w:eastAsia="Times New Roman" w:hAnsi="Times New Roman" w:cs="Times New Roman"/>
          <w:sz w:val="30"/>
          <w:szCs w:val="30"/>
        </w:rPr>
      </w:pPr>
    </w:p>
    <w:p w14:paraId="7E114972" w14:textId="4D164F94" w:rsidR="0015361E" w:rsidRDefault="004B2C9F" w:rsidP="009A0DC4">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28"/>
          <w:szCs w:val="28"/>
        </w:rPr>
        <w:t xml:space="preserve">In the </w:t>
      </w:r>
      <w:r w:rsidR="00724E27">
        <w:rPr>
          <w:rFonts w:ascii="Times New Roman" w:eastAsia="Times New Roman" w:hAnsi="Times New Roman" w:cs="Times New Roman"/>
          <w:sz w:val="28"/>
          <w:szCs w:val="28"/>
        </w:rPr>
        <w:t>fourth</w:t>
      </w:r>
      <w:r w:rsidR="00230875">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w:t>
      </w:r>
      <w:r w:rsidR="00142F84">
        <w:rPr>
          <w:rFonts w:ascii="Times New Roman" w:eastAsia="Times New Roman" w:hAnsi="Times New Roman" w:cs="Times New Roman"/>
          <w:sz w:val="28"/>
          <w:szCs w:val="28"/>
        </w:rPr>
        <w:t>020</w:t>
      </w:r>
      <w:r w:rsidR="009A0DC4" w:rsidRPr="007A7078">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closing</w:t>
      </w:r>
      <w:r w:rsidR="009A0DC4" w:rsidRPr="007A7078">
        <w:rPr>
          <w:rFonts w:ascii="Times New Roman" w:eastAsia="Times New Roman" w:hAnsi="Times New Roman" w:cs="Times New Roman"/>
          <w:sz w:val="28"/>
          <w:szCs w:val="28"/>
        </w:rPr>
        <w:t xml:space="preserve"> establishments </w:t>
      </w:r>
      <w:r w:rsidR="00A82C62" w:rsidRPr="007A7078">
        <w:rPr>
          <w:rFonts w:ascii="Times New Roman" w:eastAsia="Times New Roman" w:hAnsi="Times New Roman" w:cs="Times New Roman"/>
          <w:sz w:val="28"/>
          <w:szCs w:val="28"/>
        </w:rPr>
        <w:t>lost</w:t>
      </w:r>
      <w:r w:rsidR="0040001C">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16,128</w:t>
      </w:r>
      <w:r w:rsidR="00B6048B">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jobs</w:t>
      </w:r>
      <w:r w:rsidR="00B6048B">
        <w:rPr>
          <w:rFonts w:ascii="Times New Roman" w:eastAsia="Times New Roman" w:hAnsi="Times New Roman" w:cs="Times New Roman"/>
          <w:sz w:val="28"/>
          <w:szCs w:val="28"/>
        </w:rPr>
        <w:t xml:space="preserve">, </w:t>
      </w:r>
      <w:r w:rsidR="00724E27">
        <w:rPr>
          <w:rFonts w:ascii="Times New Roman" w:eastAsia="Times New Roman" w:hAnsi="Times New Roman" w:cs="Times New Roman"/>
          <w:sz w:val="28"/>
          <w:szCs w:val="28"/>
        </w:rPr>
        <w:t>an in</w:t>
      </w:r>
      <w:r w:rsidR="00B6048B">
        <w:rPr>
          <w:rFonts w:ascii="Times New Roman" w:eastAsia="Times New Roman" w:hAnsi="Times New Roman" w:cs="Times New Roman"/>
          <w:sz w:val="28"/>
          <w:szCs w:val="28"/>
        </w:rPr>
        <w:t xml:space="preserve">crease of </w:t>
      </w:r>
      <w:r w:rsidR="00724E27">
        <w:rPr>
          <w:rFonts w:ascii="Times New Roman" w:eastAsia="Times New Roman" w:hAnsi="Times New Roman" w:cs="Times New Roman"/>
          <w:sz w:val="28"/>
          <w:szCs w:val="28"/>
        </w:rPr>
        <w:t>92</w:t>
      </w:r>
      <w:r w:rsidR="009A0DC4" w:rsidRPr="007A7078">
        <w:rPr>
          <w:rFonts w:ascii="Times New Roman" w:eastAsia="Times New Roman" w:hAnsi="Times New Roman" w:cs="Times New Roman"/>
          <w:sz w:val="28"/>
          <w:szCs w:val="28"/>
        </w:rPr>
        <w:t xml:space="preserve"> from the previous quarter.</w:t>
      </w:r>
      <w:r w:rsidR="00B2199E">
        <w:rPr>
          <w:rFonts w:ascii="Times New Roman" w:eastAsia="Times New Roman" w:hAnsi="Times New Roman" w:cs="Times New Roman"/>
          <w:sz w:val="28"/>
          <w:szCs w:val="28"/>
        </w:rPr>
        <w:t xml:space="preserve">  Chart 3 shows the relationship between opening and closing-derived job change.</w:t>
      </w:r>
      <w:r w:rsidR="005F5F10">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Beginning in 2019, opening and closing</w:t>
      </w:r>
      <w:r w:rsidR="003E0438">
        <w:rPr>
          <w:rFonts w:ascii="Times New Roman" w:eastAsia="Times New Roman" w:hAnsi="Times New Roman" w:cs="Times New Roman"/>
          <w:sz w:val="28"/>
          <w:szCs w:val="28"/>
        </w:rPr>
        <w:t>-derived job change was</w:t>
      </w:r>
      <w:r w:rsidR="00360AA3">
        <w:rPr>
          <w:rFonts w:ascii="Times New Roman" w:eastAsia="Times New Roman" w:hAnsi="Times New Roman" w:cs="Times New Roman"/>
          <w:sz w:val="28"/>
          <w:szCs w:val="28"/>
        </w:rPr>
        <w:t xml:space="preserve"> above</w:t>
      </w:r>
      <w:r w:rsidR="003E0438">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2011-18 levels, by 2020Q2 the impact of the recession is illustrated by the</w:t>
      </w:r>
      <w:r w:rsidR="003E0438">
        <w:rPr>
          <w:rFonts w:ascii="Times New Roman" w:eastAsia="Times New Roman" w:hAnsi="Times New Roman" w:cs="Times New Roman"/>
          <w:sz w:val="28"/>
          <w:szCs w:val="28"/>
        </w:rPr>
        <w:t xml:space="preserve"> large uptick in closing job losses</w:t>
      </w:r>
      <w:r w:rsidR="007D7788">
        <w:rPr>
          <w:rFonts w:ascii="Times New Roman" w:eastAsia="Times New Roman" w:hAnsi="Times New Roman" w:cs="Times New Roman"/>
          <w:sz w:val="28"/>
          <w:szCs w:val="28"/>
        </w:rPr>
        <w:t xml:space="preserve"> and the large uptick in openings the following quarter</w:t>
      </w:r>
      <w:r w:rsidR="003E0438">
        <w:rPr>
          <w:rFonts w:ascii="Times New Roman" w:eastAsia="Times New Roman" w:hAnsi="Times New Roman" w:cs="Times New Roman"/>
          <w:sz w:val="28"/>
          <w:szCs w:val="28"/>
        </w:rPr>
        <w:t>.</w:t>
      </w:r>
      <w:r w:rsidR="00724E27">
        <w:rPr>
          <w:rFonts w:ascii="Times New Roman" w:eastAsia="Times New Roman" w:hAnsi="Times New Roman" w:cs="Times New Roman"/>
          <w:sz w:val="28"/>
          <w:szCs w:val="28"/>
        </w:rPr>
        <w:t xml:space="preserve">  In the fourth quarter of 2020, openings and closings have </w:t>
      </w:r>
      <w:r w:rsidR="001E7CB2">
        <w:rPr>
          <w:rFonts w:ascii="Times New Roman" w:eastAsia="Times New Roman" w:hAnsi="Times New Roman" w:cs="Times New Roman"/>
          <w:sz w:val="28"/>
          <w:szCs w:val="28"/>
        </w:rPr>
        <w:t>shifted back towards pre-recession levels.</w:t>
      </w:r>
    </w:p>
    <w:p w14:paraId="783B8C3A" w14:textId="6AA5F510" w:rsidR="00983FDC" w:rsidRDefault="00983FDC" w:rsidP="007F462B">
      <w:pPr>
        <w:spacing w:after="0" w:line="240" w:lineRule="auto"/>
        <w:jc w:val="center"/>
        <w:rPr>
          <w:rFonts w:ascii="Times New Roman" w:eastAsia="Times New Roman" w:hAnsi="Times New Roman" w:cs="Times New Roman"/>
          <w:sz w:val="30"/>
          <w:szCs w:val="30"/>
        </w:rPr>
      </w:pPr>
    </w:p>
    <w:p w14:paraId="1F7F89FA" w14:textId="59782AC5" w:rsidR="00ED2350" w:rsidRDefault="00724E27" w:rsidP="007F462B">
      <w:pPr>
        <w:spacing w:after="0" w:line="240" w:lineRule="auto"/>
        <w:jc w:val="center"/>
        <w:rPr>
          <w:rFonts w:ascii="Times New Roman" w:eastAsia="Times New Roman" w:hAnsi="Times New Roman" w:cs="Times New Roman"/>
          <w:sz w:val="30"/>
          <w:szCs w:val="30"/>
        </w:rPr>
      </w:pPr>
      <w:r>
        <w:rPr>
          <w:noProof/>
        </w:rPr>
        <w:drawing>
          <wp:inline distT="0" distB="0" distL="0" distR="0" wp14:anchorId="06D539D1" wp14:editId="0A2282EF">
            <wp:extent cx="4654550" cy="2471351"/>
            <wp:effectExtent l="0" t="0" r="12700" b="5715"/>
            <wp:docPr id="12" name="Chart 1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DD0DDD" w14:textId="404B16A1" w:rsidR="000F0357" w:rsidRDefault="000F0357" w:rsidP="007F462B">
      <w:pPr>
        <w:spacing w:after="0" w:line="240" w:lineRule="auto"/>
        <w:jc w:val="center"/>
        <w:rPr>
          <w:rFonts w:ascii="Times New Roman" w:eastAsia="Times New Roman" w:hAnsi="Times New Roman" w:cs="Times New Roman"/>
          <w:sz w:val="30"/>
          <w:szCs w:val="30"/>
        </w:rPr>
      </w:pPr>
    </w:p>
    <w:p w14:paraId="0D69D385" w14:textId="170B4A28" w:rsidR="009A0DC4" w:rsidRPr="007A7078" w:rsidRDefault="004B2C9F"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E37A50">
        <w:rPr>
          <w:rFonts w:ascii="Times New Roman" w:eastAsia="Times New Roman" w:hAnsi="Times New Roman" w:cs="Times New Roman"/>
          <w:sz w:val="28"/>
          <w:szCs w:val="28"/>
        </w:rPr>
        <w:t xml:space="preserve">the </w:t>
      </w:r>
      <w:r w:rsidR="001E7CB2">
        <w:rPr>
          <w:rFonts w:ascii="Times New Roman" w:eastAsia="Times New Roman" w:hAnsi="Times New Roman" w:cs="Times New Roman"/>
          <w:sz w:val="28"/>
          <w:szCs w:val="28"/>
        </w:rPr>
        <w:t>fourth quarter</w:t>
      </w:r>
      <w:r w:rsidR="00D2556A">
        <w:rPr>
          <w:rFonts w:ascii="Times New Roman" w:eastAsia="Times New Roman" w:hAnsi="Times New Roman" w:cs="Times New Roman"/>
          <w:sz w:val="28"/>
          <w:szCs w:val="28"/>
        </w:rPr>
        <w:t xml:space="preserve"> of </w:t>
      </w:r>
      <w:r w:rsidR="00A47202">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20</w:t>
      </w:r>
      <w:r w:rsidR="00020E4E">
        <w:rPr>
          <w:rFonts w:ascii="Times New Roman" w:eastAsia="Times New Roman" w:hAnsi="Times New Roman" w:cs="Times New Roman"/>
          <w:sz w:val="28"/>
          <w:szCs w:val="28"/>
        </w:rPr>
        <w:t>,</w:t>
      </w:r>
      <w:r w:rsidR="003647EF">
        <w:rPr>
          <w:rFonts w:ascii="Times New Roman" w:eastAsia="Times New Roman" w:hAnsi="Times New Roman" w:cs="Times New Roman"/>
          <w:sz w:val="28"/>
          <w:szCs w:val="28"/>
        </w:rPr>
        <w:t xml:space="preserve"> there </w:t>
      </w:r>
      <w:r w:rsidR="003B059E">
        <w:rPr>
          <w:rFonts w:ascii="Times New Roman" w:eastAsia="Times New Roman" w:hAnsi="Times New Roman" w:cs="Times New Roman"/>
          <w:sz w:val="28"/>
          <w:szCs w:val="28"/>
        </w:rPr>
        <w:t xml:space="preserve">were </w:t>
      </w:r>
      <w:r w:rsidR="001E7CB2">
        <w:rPr>
          <w:rFonts w:ascii="Times New Roman" w:eastAsia="Times New Roman" w:hAnsi="Times New Roman" w:cs="Times New Roman"/>
          <w:sz w:val="28"/>
          <w:szCs w:val="28"/>
        </w:rPr>
        <w:t>3,680</w:t>
      </w:r>
      <w:r w:rsidR="0040200D">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establishment births</w:t>
      </w:r>
      <w:r w:rsidR="00CF3447">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(a subset of t</w:t>
      </w:r>
      <w:r w:rsidR="002F5DF8" w:rsidRPr="007A7078">
        <w:rPr>
          <w:rFonts w:ascii="Times New Roman" w:eastAsia="Times New Roman" w:hAnsi="Times New Roman" w:cs="Times New Roman"/>
          <w:sz w:val="28"/>
          <w:szCs w:val="28"/>
        </w:rPr>
        <w:t>he openings data</w:t>
      </w:r>
      <w:r w:rsidR="009A0DC4" w:rsidRPr="007A7078">
        <w:rPr>
          <w:rFonts w:ascii="Times New Roman" w:eastAsia="Times New Roman" w:hAnsi="Times New Roman" w:cs="Times New Roman"/>
          <w:sz w:val="28"/>
          <w:szCs w:val="28"/>
        </w:rPr>
        <w:t>). These new establishments accounted for</w:t>
      </w:r>
      <w:r w:rsidR="001E7CB2">
        <w:rPr>
          <w:rFonts w:ascii="Times New Roman" w:eastAsia="Times New Roman" w:hAnsi="Times New Roman" w:cs="Times New Roman"/>
          <w:sz w:val="28"/>
          <w:szCs w:val="28"/>
        </w:rPr>
        <w:t xml:space="preserve"> 9,469</w:t>
      </w:r>
      <w:r w:rsidR="003B059E">
        <w:rPr>
          <w:rFonts w:ascii="Times New Roman" w:eastAsia="Times New Roman" w:hAnsi="Times New Roman" w:cs="Times New Roman"/>
          <w:sz w:val="28"/>
          <w:szCs w:val="28"/>
        </w:rPr>
        <w:t xml:space="preserve"> jobs,</w:t>
      </w:r>
      <w:r w:rsidR="007D7788">
        <w:rPr>
          <w:rFonts w:ascii="Times New Roman" w:eastAsia="Times New Roman" w:hAnsi="Times New Roman" w:cs="Times New Roman"/>
          <w:sz w:val="28"/>
          <w:szCs w:val="28"/>
        </w:rPr>
        <w:t xml:space="preserve"> 1,</w:t>
      </w:r>
      <w:r w:rsidR="001E7CB2">
        <w:rPr>
          <w:rFonts w:ascii="Times New Roman" w:eastAsia="Times New Roman" w:hAnsi="Times New Roman" w:cs="Times New Roman"/>
          <w:sz w:val="28"/>
          <w:szCs w:val="28"/>
        </w:rPr>
        <w:t>064</w:t>
      </w:r>
      <w:r w:rsidR="007D7788">
        <w:rPr>
          <w:rFonts w:ascii="Times New Roman" w:eastAsia="Times New Roman" w:hAnsi="Times New Roman" w:cs="Times New Roman"/>
          <w:sz w:val="28"/>
          <w:szCs w:val="28"/>
        </w:rPr>
        <w:t xml:space="preserve"> more</w:t>
      </w:r>
      <w:r w:rsidR="00A47202">
        <w:rPr>
          <w:rFonts w:ascii="Times New Roman" w:eastAsia="Times New Roman" w:hAnsi="Times New Roman" w:cs="Times New Roman"/>
          <w:sz w:val="28"/>
          <w:szCs w:val="28"/>
        </w:rPr>
        <w:t xml:space="preserve"> than</w:t>
      </w:r>
      <w:r w:rsidR="009A0DC4" w:rsidRPr="007A7078">
        <w:rPr>
          <w:rFonts w:ascii="Times New Roman" w:eastAsia="Times New Roman" w:hAnsi="Times New Roman" w:cs="Times New Roman"/>
          <w:sz w:val="28"/>
          <w:szCs w:val="28"/>
        </w:rPr>
        <w:t xml:space="preserve"> th</w:t>
      </w:r>
      <w:r w:rsidR="009B5C2E" w:rsidRPr="007A7078">
        <w:rPr>
          <w:rFonts w:ascii="Times New Roman" w:eastAsia="Times New Roman" w:hAnsi="Times New Roman" w:cs="Times New Roman"/>
          <w:sz w:val="28"/>
          <w:szCs w:val="28"/>
        </w:rPr>
        <w:t xml:space="preserve">e previous quarter. </w:t>
      </w:r>
    </w:p>
    <w:p w14:paraId="2FE44F16" w14:textId="77777777" w:rsidR="009B5C2E" w:rsidRPr="007A7078" w:rsidRDefault="009B5C2E" w:rsidP="009A0DC4">
      <w:pPr>
        <w:spacing w:after="0" w:line="240" w:lineRule="auto"/>
        <w:rPr>
          <w:rFonts w:ascii="Times New Roman" w:eastAsia="Times New Roman" w:hAnsi="Times New Roman" w:cs="Times New Roman"/>
          <w:sz w:val="28"/>
          <w:szCs w:val="28"/>
        </w:rPr>
      </w:pPr>
    </w:p>
    <w:p w14:paraId="64BADA8D" w14:textId="285D393E" w:rsidR="009A0DC4" w:rsidRPr="007A7078" w:rsidRDefault="009A0DC4" w:rsidP="009A0DC4">
      <w:pPr>
        <w:spacing w:after="0" w:line="240" w:lineRule="auto"/>
        <w:rPr>
          <w:rFonts w:ascii="Times New Roman" w:eastAsia="Times New Roman" w:hAnsi="Times New Roman" w:cs="Times New Roman"/>
          <w:sz w:val="28"/>
          <w:szCs w:val="28"/>
        </w:rPr>
      </w:pPr>
      <w:r w:rsidRPr="00FB3D05">
        <w:rPr>
          <w:rFonts w:ascii="Times New Roman" w:eastAsia="Times New Roman" w:hAnsi="Times New Roman" w:cs="Times New Roman"/>
          <w:sz w:val="28"/>
          <w:szCs w:val="28"/>
        </w:rPr>
        <w:t xml:space="preserve">Data for </w:t>
      </w:r>
      <w:r w:rsidRPr="00FB3D05">
        <w:rPr>
          <w:rFonts w:ascii="Times New Roman" w:eastAsia="Times New Roman" w:hAnsi="Times New Roman" w:cs="Times New Roman"/>
          <w:b/>
          <w:sz w:val="28"/>
          <w:szCs w:val="28"/>
        </w:rPr>
        <w:t>establishment deaths</w:t>
      </w:r>
      <w:r w:rsidRPr="00FB3D05">
        <w:rPr>
          <w:rFonts w:ascii="Times New Roman" w:eastAsia="Times New Roman" w:hAnsi="Times New Roman" w:cs="Times New Roman"/>
          <w:sz w:val="28"/>
          <w:szCs w:val="28"/>
        </w:rPr>
        <w:t xml:space="preserve"> (a subset of the closings data) are available through </w:t>
      </w:r>
      <w:r w:rsidR="00CF3447">
        <w:rPr>
          <w:rFonts w:ascii="Times New Roman" w:eastAsia="Times New Roman" w:hAnsi="Times New Roman" w:cs="Times New Roman"/>
          <w:sz w:val="28"/>
          <w:szCs w:val="28"/>
        </w:rPr>
        <w:t>the</w:t>
      </w:r>
      <w:r w:rsidR="004A5201">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first</w:t>
      </w:r>
      <w:r w:rsidR="003B059E">
        <w:rPr>
          <w:rFonts w:ascii="Times New Roman" w:eastAsia="Times New Roman" w:hAnsi="Times New Roman" w:cs="Times New Roman"/>
          <w:sz w:val="28"/>
          <w:szCs w:val="28"/>
        </w:rPr>
        <w:t xml:space="preserve"> </w:t>
      </w:r>
      <w:r w:rsidR="00A47202">
        <w:rPr>
          <w:rFonts w:ascii="Times New Roman" w:eastAsia="Times New Roman" w:hAnsi="Times New Roman" w:cs="Times New Roman"/>
          <w:sz w:val="28"/>
          <w:szCs w:val="28"/>
        </w:rPr>
        <w:t>quarter of 2</w:t>
      </w:r>
      <w:r w:rsidR="001E7CB2">
        <w:rPr>
          <w:rFonts w:ascii="Times New Roman" w:eastAsia="Times New Roman" w:hAnsi="Times New Roman" w:cs="Times New Roman"/>
          <w:sz w:val="28"/>
          <w:szCs w:val="28"/>
        </w:rPr>
        <w:t>020</w:t>
      </w:r>
      <w:r w:rsidRPr="00FB3D05">
        <w:rPr>
          <w:rFonts w:ascii="Times New Roman" w:eastAsia="Times New Roman" w:hAnsi="Times New Roman" w:cs="Times New Roman"/>
          <w:sz w:val="28"/>
          <w:szCs w:val="28"/>
        </w:rPr>
        <w:t xml:space="preserve">, </w:t>
      </w:r>
      <w:r w:rsidR="001F74F6" w:rsidRPr="00FB3D05">
        <w:rPr>
          <w:rFonts w:ascii="Times New Roman" w:eastAsia="Times New Roman" w:hAnsi="Times New Roman" w:cs="Times New Roman"/>
          <w:sz w:val="28"/>
          <w:szCs w:val="28"/>
        </w:rPr>
        <w:t>where</w:t>
      </w:r>
      <w:r w:rsidR="007D7788">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7,765</w:t>
      </w:r>
      <w:r w:rsidRPr="00FB3D05">
        <w:rPr>
          <w:rFonts w:ascii="Times New Roman" w:eastAsia="Times New Roman" w:hAnsi="Times New Roman" w:cs="Times New Roman"/>
          <w:sz w:val="28"/>
          <w:szCs w:val="28"/>
        </w:rPr>
        <w:t xml:space="preserve"> jobs were lost at </w:t>
      </w:r>
      <w:r w:rsidR="00007571">
        <w:rPr>
          <w:rFonts w:ascii="Times New Roman" w:eastAsia="Times New Roman" w:hAnsi="Times New Roman" w:cs="Times New Roman"/>
          <w:sz w:val="28"/>
          <w:szCs w:val="28"/>
        </w:rPr>
        <w:t>2,</w:t>
      </w:r>
      <w:r w:rsidR="001E7CB2">
        <w:rPr>
          <w:rFonts w:ascii="Times New Roman" w:eastAsia="Times New Roman" w:hAnsi="Times New Roman" w:cs="Times New Roman"/>
          <w:sz w:val="28"/>
          <w:szCs w:val="28"/>
        </w:rPr>
        <w:t>574</w:t>
      </w:r>
      <w:r w:rsidR="0040200D">
        <w:rPr>
          <w:rFonts w:ascii="Times New Roman" w:eastAsia="Times New Roman" w:hAnsi="Times New Roman" w:cs="Times New Roman"/>
          <w:sz w:val="28"/>
          <w:szCs w:val="28"/>
        </w:rPr>
        <w:t xml:space="preserve"> </w:t>
      </w:r>
      <w:r w:rsidR="004475D3">
        <w:rPr>
          <w:rFonts w:ascii="Times New Roman" w:eastAsia="Times New Roman" w:hAnsi="Times New Roman" w:cs="Times New Roman"/>
          <w:sz w:val="28"/>
          <w:szCs w:val="28"/>
        </w:rPr>
        <w:t>establishment deaths</w:t>
      </w:r>
      <w:r w:rsidRPr="00FB3D05">
        <w:rPr>
          <w:rFonts w:ascii="Times New Roman" w:eastAsia="Times New Roman" w:hAnsi="Times New Roman" w:cs="Times New Roman"/>
          <w:sz w:val="28"/>
          <w:szCs w:val="28"/>
        </w:rPr>
        <w:t xml:space="preserve">. In the prior </w:t>
      </w:r>
      <w:r w:rsidR="00A0654D" w:rsidRPr="00FB3D05">
        <w:rPr>
          <w:rFonts w:ascii="Times New Roman" w:eastAsia="Times New Roman" w:hAnsi="Times New Roman" w:cs="Times New Roman"/>
          <w:sz w:val="28"/>
          <w:szCs w:val="28"/>
        </w:rPr>
        <w:t xml:space="preserve">quarter, </w:t>
      </w:r>
      <w:r w:rsidR="001E7CB2">
        <w:rPr>
          <w:rFonts w:ascii="Times New Roman" w:eastAsia="Times New Roman" w:hAnsi="Times New Roman" w:cs="Times New Roman"/>
          <w:sz w:val="28"/>
          <w:szCs w:val="28"/>
        </w:rPr>
        <w:t>8,049</w:t>
      </w:r>
      <w:r w:rsidR="00CF3447">
        <w:rPr>
          <w:rFonts w:ascii="Times New Roman" w:eastAsia="Times New Roman" w:hAnsi="Times New Roman" w:cs="Times New Roman"/>
          <w:sz w:val="28"/>
          <w:szCs w:val="28"/>
        </w:rPr>
        <w:t xml:space="preserve"> jobs were lost at </w:t>
      </w:r>
      <w:r w:rsidR="007D7788">
        <w:rPr>
          <w:rFonts w:ascii="Times New Roman" w:eastAsia="Times New Roman" w:hAnsi="Times New Roman" w:cs="Times New Roman"/>
          <w:sz w:val="28"/>
          <w:szCs w:val="28"/>
        </w:rPr>
        <w:t>2,</w:t>
      </w:r>
      <w:r w:rsidR="001E7CB2">
        <w:rPr>
          <w:rFonts w:ascii="Times New Roman" w:eastAsia="Times New Roman" w:hAnsi="Times New Roman" w:cs="Times New Roman"/>
          <w:sz w:val="28"/>
          <w:szCs w:val="28"/>
        </w:rPr>
        <w:t>321</w:t>
      </w:r>
      <w:r w:rsidR="00F3038E" w:rsidRPr="00FB3D05">
        <w:rPr>
          <w:rFonts w:ascii="Times New Roman" w:eastAsia="Times New Roman" w:hAnsi="Times New Roman" w:cs="Times New Roman"/>
          <w:sz w:val="28"/>
          <w:szCs w:val="28"/>
        </w:rPr>
        <w:t xml:space="preserve"> </w:t>
      </w:r>
      <w:r w:rsidR="009435B8">
        <w:rPr>
          <w:rFonts w:ascii="Times New Roman" w:eastAsia="Times New Roman" w:hAnsi="Times New Roman" w:cs="Times New Roman"/>
          <w:sz w:val="28"/>
          <w:szCs w:val="28"/>
        </w:rPr>
        <w:t>establishment deaths</w:t>
      </w:r>
      <w:r w:rsidR="009B5C2E" w:rsidRPr="00FB3D05">
        <w:rPr>
          <w:rFonts w:ascii="Times New Roman" w:eastAsia="Times New Roman" w:hAnsi="Times New Roman" w:cs="Times New Roman"/>
          <w:sz w:val="28"/>
          <w:szCs w:val="28"/>
        </w:rPr>
        <w:t>.</w:t>
      </w:r>
    </w:p>
    <w:p w14:paraId="6F5F5213" w14:textId="77777777" w:rsidR="001329FE" w:rsidRDefault="001329FE" w:rsidP="009A0DC4">
      <w:pPr>
        <w:spacing w:after="0" w:line="240" w:lineRule="auto"/>
        <w:rPr>
          <w:rFonts w:ascii="Times New Roman" w:eastAsia="Times New Roman" w:hAnsi="Times New Roman" w:cs="Times New Roman"/>
          <w:sz w:val="30"/>
          <w:szCs w:val="30"/>
        </w:rPr>
      </w:pPr>
    </w:p>
    <w:p w14:paraId="36DC9099" w14:textId="3198D476" w:rsidR="008D637E" w:rsidRDefault="004E7882" w:rsidP="00F92959">
      <w:pPr>
        <w:spacing w:after="0" w:line="240" w:lineRule="auto"/>
        <w:jc w:val="center"/>
        <w:rPr>
          <w:rFonts w:ascii="Times New Roman" w:eastAsia="Times New Roman" w:hAnsi="Times New Roman" w:cs="Times New Roman"/>
          <w:sz w:val="30"/>
          <w:szCs w:val="30"/>
        </w:rPr>
      </w:pPr>
      <w:r>
        <w:rPr>
          <w:noProof/>
        </w:rPr>
        <w:drawing>
          <wp:inline distT="0" distB="0" distL="0" distR="0" wp14:anchorId="0DC56B3D" wp14:editId="7A4BA1E6">
            <wp:extent cx="4971415" cy="2701925"/>
            <wp:effectExtent l="0" t="0" r="635" b="3175"/>
            <wp:docPr id="17" name="Chart 1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FBDC58" w14:textId="72277277" w:rsidR="00540D0A" w:rsidRDefault="009B5C2E" w:rsidP="00BA5D8C">
      <w:pPr>
        <w:spacing w:after="0" w:line="240" w:lineRule="auto"/>
        <w:rPr>
          <w:rFonts w:ascii="Times New Roman" w:eastAsia="Times New Roman" w:hAnsi="Times New Roman" w:cs="Times New Roman"/>
          <w:sz w:val="28"/>
          <w:szCs w:val="28"/>
        </w:rPr>
      </w:pPr>
      <w:r w:rsidRPr="00AA6ED5">
        <w:rPr>
          <w:rFonts w:ascii="Times New Roman" w:eastAsia="Times New Roman" w:hAnsi="Times New Roman" w:cs="Times New Roman"/>
          <w:sz w:val="28"/>
          <w:szCs w:val="28"/>
        </w:rPr>
        <w:lastRenderedPageBreak/>
        <w:t xml:space="preserve">The </w:t>
      </w:r>
      <w:r w:rsidRPr="00AA6ED5">
        <w:rPr>
          <w:rFonts w:ascii="Times New Roman" w:eastAsia="Times New Roman" w:hAnsi="Times New Roman" w:cs="Times New Roman"/>
          <w:b/>
          <w:sz w:val="28"/>
          <w:szCs w:val="28"/>
        </w:rPr>
        <w:t>net change</w:t>
      </w:r>
      <w:r w:rsidRPr="00AA6ED5">
        <w:rPr>
          <w:rFonts w:ascii="Times New Roman" w:eastAsia="Times New Roman" w:hAnsi="Times New Roman" w:cs="Times New Roman"/>
          <w:sz w:val="28"/>
          <w:szCs w:val="28"/>
        </w:rPr>
        <w:t xml:space="preserve"> of </w:t>
      </w:r>
      <w:r w:rsidRPr="00AA6ED5">
        <w:rPr>
          <w:rFonts w:ascii="Times New Roman" w:eastAsia="Times New Roman" w:hAnsi="Times New Roman" w:cs="Times New Roman"/>
          <w:b/>
          <w:sz w:val="28"/>
          <w:szCs w:val="28"/>
        </w:rPr>
        <w:t>establishment births and deaths</w:t>
      </w:r>
      <w:r w:rsidRPr="00AA6ED5">
        <w:rPr>
          <w:rFonts w:ascii="Times New Roman" w:eastAsia="Times New Roman" w:hAnsi="Times New Roman" w:cs="Times New Roman"/>
          <w:sz w:val="28"/>
          <w:szCs w:val="28"/>
        </w:rPr>
        <w:t xml:space="preserve"> went </w:t>
      </w:r>
      <w:r w:rsidR="00026DE4" w:rsidRPr="00AA6ED5">
        <w:rPr>
          <w:rFonts w:ascii="Times New Roman" w:eastAsia="Times New Roman" w:hAnsi="Times New Roman" w:cs="Times New Roman"/>
          <w:sz w:val="28"/>
          <w:szCs w:val="28"/>
        </w:rPr>
        <w:t xml:space="preserve">consistently </w:t>
      </w:r>
      <w:r w:rsidRPr="00AA6ED5">
        <w:rPr>
          <w:rFonts w:ascii="Times New Roman" w:eastAsia="Times New Roman" w:hAnsi="Times New Roman" w:cs="Times New Roman"/>
          <w:sz w:val="28"/>
          <w:szCs w:val="28"/>
        </w:rPr>
        <w:t>nega</w:t>
      </w:r>
      <w:r w:rsidR="00026DE4" w:rsidRPr="00AA6ED5">
        <w:rPr>
          <w:rFonts w:ascii="Times New Roman" w:eastAsia="Times New Roman" w:hAnsi="Times New Roman" w:cs="Times New Roman"/>
          <w:sz w:val="28"/>
          <w:szCs w:val="28"/>
        </w:rPr>
        <w:t xml:space="preserve">tive </w:t>
      </w:r>
      <w:r w:rsidR="00FE15AC" w:rsidRPr="00AA6ED5">
        <w:rPr>
          <w:rFonts w:ascii="Times New Roman" w:eastAsia="Times New Roman" w:hAnsi="Times New Roman" w:cs="Times New Roman"/>
          <w:sz w:val="28"/>
          <w:szCs w:val="28"/>
        </w:rPr>
        <w:t xml:space="preserve">during the </w:t>
      </w:r>
      <w:r w:rsidR="0040200D">
        <w:rPr>
          <w:rFonts w:ascii="Times New Roman" w:eastAsia="Times New Roman" w:hAnsi="Times New Roman" w:cs="Times New Roman"/>
          <w:sz w:val="28"/>
          <w:szCs w:val="28"/>
        </w:rPr>
        <w:t xml:space="preserve">last </w:t>
      </w:r>
      <w:r w:rsidR="00FE15AC" w:rsidRPr="00AA6ED5">
        <w:rPr>
          <w:rFonts w:ascii="Times New Roman" w:eastAsia="Times New Roman" w:hAnsi="Times New Roman" w:cs="Times New Roman"/>
          <w:sz w:val="28"/>
          <w:szCs w:val="28"/>
        </w:rPr>
        <w:t>recession from the first quarter of 2008</w:t>
      </w:r>
      <w:r w:rsidR="00714CDA">
        <w:rPr>
          <w:rFonts w:ascii="Times New Roman" w:eastAsia="Times New Roman" w:hAnsi="Times New Roman" w:cs="Times New Roman"/>
          <w:sz w:val="28"/>
          <w:szCs w:val="28"/>
        </w:rPr>
        <w:t xml:space="preserve"> </w:t>
      </w:r>
      <w:r w:rsidR="008D6C43" w:rsidRPr="00AA6ED5">
        <w:rPr>
          <w:rFonts w:ascii="Times New Roman" w:eastAsia="Times New Roman" w:hAnsi="Times New Roman" w:cs="Times New Roman"/>
          <w:sz w:val="28"/>
          <w:szCs w:val="28"/>
        </w:rPr>
        <w:t>through the</w:t>
      </w:r>
      <w:r w:rsidR="00026DE4" w:rsidRPr="00AA6ED5">
        <w:rPr>
          <w:rFonts w:ascii="Times New Roman" w:eastAsia="Times New Roman" w:hAnsi="Times New Roman" w:cs="Times New Roman"/>
          <w:sz w:val="28"/>
          <w:szCs w:val="28"/>
        </w:rPr>
        <w:t xml:space="preserve"> first quarter of 2010.</w:t>
      </w:r>
      <w:r w:rsidR="0040200D">
        <w:rPr>
          <w:rFonts w:ascii="Times New Roman" w:eastAsia="Times New Roman" w:hAnsi="Times New Roman" w:cs="Times New Roman"/>
          <w:sz w:val="28"/>
          <w:szCs w:val="28"/>
        </w:rPr>
        <w:t xml:space="preserve">  </w:t>
      </w:r>
      <w:r w:rsidR="0040200D" w:rsidRPr="00AA6ED5">
        <w:rPr>
          <w:rFonts w:ascii="Times New Roman" w:eastAsia="Times New Roman" w:hAnsi="Times New Roman" w:cs="Times New Roman"/>
          <w:sz w:val="28"/>
          <w:szCs w:val="28"/>
        </w:rPr>
        <w:t>During those 9 quarters of recession, Connecticut averaged a net decrease of 640 establishments per quarter, with the largest net establishment decline occurring at the end of the recession, down 1,784 in the first quarter of 2010</w:t>
      </w:r>
      <w:r w:rsidR="0040200D">
        <w:rPr>
          <w:rFonts w:ascii="Times New Roman" w:eastAsia="Times New Roman" w:hAnsi="Times New Roman" w:cs="Times New Roman"/>
          <w:sz w:val="28"/>
          <w:szCs w:val="28"/>
        </w:rPr>
        <w:t xml:space="preserve">.  From 2010-2018, it ranged between -354 and +903 quarter to quarter change.  </w:t>
      </w:r>
      <w:r w:rsidR="0040200D">
        <w:rPr>
          <w:rFonts w:ascii="Times New Roman" w:eastAsia="Times New Roman" w:hAnsi="Times New Roman" w:cs="Times New Roman"/>
          <w:sz w:val="28"/>
          <w:szCs w:val="28"/>
        </w:rPr>
        <w:br/>
      </w:r>
      <w:r w:rsidR="0040200D">
        <w:rPr>
          <w:rFonts w:ascii="Times New Roman" w:eastAsia="Times New Roman" w:hAnsi="Times New Roman" w:cs="Times New Roman"/>
          <w:sz w:val="28"/>
          <w:szCs w:val="28"/>
        </w:rPr>
        <w:br/>
        <w:t>During the first half of 2019, net change fell by 2,011 establishments in the first quarter and 539 in the second.   It recovered to an 84 establishment increase in the third quarter</w:t>
      </w:r>
      <w:r w:rsidR="007D7788">
        <w:rPr>
          <w:rFonts w:ascii="Times New Roman" w:eastAsia="Times New Roman" w:hAnsi="Times New Roman" w:cs="Times New Roman"/>
          <w:sz w:val="28"/>
          <w:szCs w:val="28"/>
        </w:rPr>
        <w:t xml:space="preserve"> and fell by 157 in the fourth quarter of 2019</w:t>
      </w:r>
      <w:r w:rsidR="001E7CB2">
        <w:rPr>
          <w:rFonts w:ascii="Times New Roman" w:eastAsia="Times New Roman" w:hAnsi="Times New Roman" w:cs="Times New Roman"/>
          <w:sz w:val="28"/>
          <w:szCs w:val="28"/>
        </w:rPr>
        <w:t>.  During the first quarter of 2020, net establishment births and deaths was -257</w:t>
      </w:r>
      <w:r w:rsidR="0040200D">
        <w:rPr>
          <w:rFonts w:ascii="Times New Roman" w:eastAsia="Times New Roman" w:hAnsi="Times New Roman" w:cs="Times New Roman"/>
          <w:sz w:val="28"/>
          <w:szCs w:val="28"/>
        </w:rPr>
        <w:t xml:space="preserve"> (the last quarter of available data).</w:t>
      </w:r>
    </w:p>
    <w:p w14:paraId="6E5F32D8" w14:textId="552E6CCC" w:rsidR="001E7CB2" w:rsidRDefault="001E7CB2" w:rsidP="00BA5D8C">
      <w:pPr>
        <w:spacing w:after="0" w:line="240" w:lineRule="auto"/>
        <w:rPr>
          <w:rFonts w:ascii="Times New Roman" w:eastAsia="Times New Roman" w:hAnsi="Times New Roman" w:cs="Times New Roman"/>
          <w:sz w:val="28"/>
          <w:szCs w:val="28"/>
        </w:rPr>
      </w:pPr>
    </w:p>
    <w:p w14:paraId="6FF1C544" w14:textId="4F8B5323" w:rsidR="002D0151" w:rsidRDefault="00316093" w:rsidP="009A0DC4">
      <w:pPr>
        <w:spacing w:after="0" w:line="240" w:lineRule="auto"/>
        <w:rPr>
          <w:noProof/>
        </w:rPr>
      </w:pPr>
      <w:r w:rsidRPr="007A7078">
        <w:rPr>
          <w:rFonts w:ascii="Times New Roman" w:eastAsia="Times New Roman" w:hAnsi="Times New Roman" w:cs="Times New Roman"/>
          <w:sz w:val="28"/>
          <w:szCs w:val="28"/>
        </w:rPr>
        <w:t>During</w:t>
      </w:r>
      <w:r w:rsidR="00707D93">
        <w:rPr>
          <w:rFonts w:ascii="Times New Roman" w:eastAsia="Times New Roman" w:hAnsi="Times New Roman" w:cs="Times New Roman"/>
          <w:sz w:val="28"/>
          <w:szCs w:val="28"/>
        </w:rPr>
        <w:t xml:space="preserve"> the</w:t>
      </w:r>
      <w:r w:rsidR="00A369AC">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 xml:space="preserve">fourth </w:t>
      </w:r>
      <w:r w:rsidR="00230875">
        <w:rPr>
          <w:rFonts w:ascii="Times New Roman" w:eastAsia="Times New Roman" w:hAnsi="Times New Roman" w:cs="Times New Roman"/>
          <w:sz w:val="28"/>
          <w:szCs w:val="28"/>
        </w:rPr>
        <w:t>quarter</w:t>
      </w:r>
      <w:r w:rsidR="00D2556A">
        <w:rPr>
          <w:rFonts w:ascii="Times New Roman" w:eastAsia="Times New Roman" w:hAnsi="Times New Roman" w:cs="Times New Roman"/>
          <w:sz w:val="28"/>
          <w:szCs w:val="28"/>
        </w:rPr>
        <w:t xml:space="preserve"> of </w:t>
      </w:r>
      <w:r w:rsidR="00AB4403">
        <w:rPr>
          <w:rFonts w:ascii="Times New Roman" w:eastAsia="Times New Roman" w:hAnsi="Times New Roman" w:cs="Times New Roman"/>
          <w:sz w:val="28"/>
          <w:szCs w:val="28"/>
        </w:rPr>
        <w:t>2020</w:t>
      </w:r>
      <w:r w:rsidR="00745757">
        <w:rPr>
          <w:rFonts w:ascii="Times New Roman" w:eastAsia="Times New Roman" w:hAnsi="Times New Roman" w:cs="Times New Roman"/>
          <w:sz w:val="28"/>
          <w:szCs w:val="28"/>
        </w:rPr>
        <w:t>,</w:t>
      </w:r>
      <w:r w:rsidR="00446580">
        <w:rPr>
          <w:rFonts w:ascii="Times New Roman" w:eastAsia="Times New Roman" w:hAnsi="Times New Roman" w:cs="Times New Roman"/>
          <w:sz w:val="28"/>
          <w:szCs w:val="28"/>
        </w:rPr>
        <w:t xml:space="preserve"> </w:t>
      </w:r>
      <w:r w:rsidR="00182341">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gains</w:t>
      </w:r>
      <w:r w:rsidR="00446580">
        <w:rPr>
          <w:rFonts w:ascii="Times New Roman" w:eastAsia="Times New Roman" w:hAnsi="Times New Roman" w:cs="Times New Roman"/>
          <w:b/>
          <w:sz w:val="28"/>
          <w:szCs w:val="28"/>
        </w:rPr>
        <w:t xml:space="preserve"> </w:t>
      </w:r>
      <w:r w:rsidR="00446580">
        <w:rPr>
          <w:rFonts w:ascii="Times New Roman" w:eastAsia="Times New Roman" w:hAnsi="Times New Roman" w:cs="Times New Roman"/>
          <w:sz w:val="28"/>
          <w:szCs w:val="28"/>
        </w:rPr>
        <w:t xml:space="preserve">exceeded </w:t>
      </w:r>
      <w:r w:rsidR="009435B8">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losse</w:t>
      </w:r>
      <w:r w:rsidR="00182341">
        <w:rPr>
          <w:rFonts w:ascii="Times New Roman" w:eastAsia="Times New Roman" w:hAnsi="Times New Roman" w:cs="Times New Roman"/>
          <w:b/>
          <w:sz w:val="28"/>
          <w:szCs w:val="28"/>
        </w:rPr>
        <w:t>s</w:t>
      </w:r>
      <w:r w:rsidR="009542A8">
        <w:rPr>
          <w:rFonts w:ascii="Times New Roman" w:eastAsia="Times New Roman" w:hAnsi="Times New Roman" w:cs="Times New Roman"/>
          <w:sz w:val="28"/>
          <w:szCs w:val="28"/>
        </w:rPr>
        <w:t xml:space="preserve"> in</w:t>
      </w:r>
      <w:r w:rsidR="00182341">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seven of 10</w:t>
      </w:r>
      <w:r w:rsidR="00540D0A">
        <w:rPr>
          <w:rFonts w:ascii="Times New Roman" w:eastAsia="Times New Roman" w:hAnsi="Times New Roman" w:cs="Times New Roman"/>
          <w:sz w:val="28"/>
          <w:szCs w:val="28"/>
        </w:rPr>
        <w:t xml:space="preserve"> indust</w:t>
      </w:r>
      <w:r w:rsidR="001E7CB2">
        <w:rPr>
          <w:rFonts w:ascii="Times New Roman" w:eastAsia="Times New Roman" w:hAnsi="Times New Roman" w:cs="Times New Roman"/>
          <w:sz w:val="28"/>
          <w:szCs w:val="28"/>
        </w:rPr>
        <w:t>ries</w:t>
      </w:r>
      <w:r w:rsidR="006C06F2" w:rsidRPr="002A315A">
        <w:rPr>
          <w:rFonts w:ascii="Times New Roman" w:eastAsia="Times New Roman" w:hAnsi="Times New Roman" w:cs="Times New Roman"/>
          <w:sz w:val="28"/>
          <w:szCs w:val="28"/>
        </w:rPr>
        <w:t>.</w:t>
      </w:r>
      <w:r w:rsidR="007D7788">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Strong net increases were had in Professional &amp; Business Services, Transportation &amp; Warehousing, and Retail Trade.  The three net negative industries were Leisure &amp; Hospitality, Manufacturing, and Other Services.</w:t>
      </w:r>
      <w:r w:rsidR="001E7CB2">
        <w:rPr>
          <w:rFonts w:ascii="Times New Roman" w:eastAsia="Times New Roman" w:hAnsi="Times New Roman" w:cs="Times New Roman"/>
          <w:sz w:val="28"/>
          <w:szCs w:val="28"/>
        </w:rPr>
        <w:br/>
      </w:r>
    </w:p>
    <w:p w14:paraId="2929BFCF" w14:textId="13B1C7DE" w:rsidR="003D0A6C" w:rsidRDefault="001E7CB2" w:rsidP="00BE7741">
      <w:pPr>
        <w:spacing w:after="0" w:line="240" w:lineRule="auto"/>
        <w:jc w:val="center"/>
        <w:rPr>
          <w:noProof/>
        </w:rPr>
      </w:pPr>
      <w:r>
        <w:rPr>
          <w:noProof/>
        </w:rPr>
        <w:drawing>
          <wp:inline distT="0" distB="0" distL="0" distR="0" wp14:anchorId="4BF762BE" wp14:editId="6C93F39B">
            <wp:extent cx="5255896" cy="2887346"/>
            <wp:effectExtent l="0" t="0" r="1905" b="8255"/>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D7788">
        <w:rPr>
          <w:noProof/>
        </w:rPr>
        <w:br/>
      </w:r>
      <w:r w:rsidR="005C7F95">
        <w:rPr>
          <w:noProof/>
        </w:rPr>
        <w:br/>
      </w:r>
      <w:r w:rsidR="005C7F95">
        <w:rPr>
          <w:noProof/>
        </w:rPr>
        <w:br/>
      </w:r>
    </w:p>
    <w:p w14:paraId="41B036A6" w14:textId="68490CAD" w:rsidR="003D0A6C" w:rsidRDefault="003D0A6C" w:rsidP="009A0DC4">
      <w:pPr>
        <w:spacing w:after="0" w:line="240" w:lineRule="auto"/>
        <w:rPr>
          <w:noProof/>
        </w:rPr>
      </w:pPr>
    </w:p>
    <w:p w14:paraId="202D5EF7" w14:textId="13869142" w:rsidR="002D0151" w:rsidRPr="007A7078" w:rsidRDefault="00540D0A"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w:t>
      </w:r>
      <w:r w:rsidR="0026284D" w:rsidRPr="007A7078">
        <w:rPr>
          <w:rFonts w:ascii="Times New Roman" w:eastAsia="Times New Roman" w:hAnsi="Times New Roman" w:cs="Times New Roman"/>
          <w:sz w:val="28"/>
          <w:szCs w:val="28"/>
        </w:rPr>
        <w:t xml:space="preserve">ditional Information on Business Employment Dynamics, including data for </w:t>
      </w:r>
      <w:r w:rsidR="00B35A80" w:rsidRPr="007A7078">
        <w:rPr>
          <w:rFonts w:ascii="Times New Roman" w:eastAsia="Times New Roman" w:hAnsi="Times New Roman" w:cs="Times New Roman"/>
          <w:sz w:val="28"/>
          <w:szCs w:val="28"/>
        </w:rPr>
        <w:t xml:space="preserve">the </w:t>
      </w:r>
      <w:r w:rsidR="0026284D" w:rsidRPr="007A7078">
        <w:rPr>
          <w:rFonts w:ascii="Times New Roman" w:eastAsia="Times New Roman" w:hAnsi="Times New Roman" w:cs="Times New Roman"/>
          <w:sz w:val="28"/>
          <w:szCs w:val="28"/>
        </w:rPr>
        <w:t xml:space="preserve">United States, 50 states, and US territories can be found at: </w:t>
      </w:r>
      <w:hyperlink r:id="rId13" w:history="1">
        <w:r w:rsidR="0026284D" w:rsidRPr="007A7078">
          <w:rPr>
            <w:rStyle w:val="Hyperlink"/>
            <w:rFonts w:ascii="Times New Roman" w:eastAsia="Times New Roman" w:hAnsi="Times New Roman" w:cs="Times New Roman"/>
            <w:sz w:val="28"/>
            <w:szCs w:val="28"/>
          </w:rPr>
          <w:t>http://www.bls.gov/bdm/</w:t>
        </w:r>
      </w:hyperlink>
      <w:r w:rsidR="0026284D" w:rsidRPr="007A7078">
        <w:rPr>
          <w:rFonts w:ascii="Times New Roman" w:eastAsia="Times New Roman" w:hAnsi="Times New Roman" w:cs="Times New Roman"/>
          <w:sz w:val="28"/>
          <w:szCs w:val="28"/>
        </w:rPr>
        <w:t>.</w:t>
      </w:r>
    </w:p>
    <w:p w14:paraId="07A0E959" w14:textId="77777777" w:rsidR="0026284D" w:rsidRPr="009A0DC4"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Default="009D2827" w:rsidP="00CD17BA">
      <w:pPr>
        <w:spacing w:after="0" w:line="240" w:lineRule="auto"/>
        <w:rPr>
          <w:rFonts w:ascii="Times New Roman" w:eastAsia="Times New Roman" w:hAnsi="Times New Roman" w:cs="Times New Roman"/>
          <w:b/>
          <w:sz w:val="30"/>
          <w:szCs w:val="30"/>
        </w:rPr>
      </w:pPr>
    </w:p>
    <w:p w14:paraId="7E9183E4" w14:textId="42A3DB66" w:rsidR="009D2827" w:rsidRDefault="009D2827" w:rsidP="00CD17BA">
      <w:pPr>
        <w:spacing w:after="0" w:line="240" w:lineRule="auto"/>
        <w:rPr>
          <w:rFonts w:ascii="Times New Roman" w:eastAsia="Times New Roman" w:hAnsi="Times New Roman" w:cs="Times New Roman"/>
          <w:b/>
          <w:sz w:val="30"/>
          <w:szCs w:val="30"/>
        </w:rPr>
      </w:pPr>
    </w:p>
    <w:p w14:paraId="2F7DC1A8" w14:textId="6A07C31C" w:rsidR="009D2827" w:rsidRDefault="006414CB" w:rsidP="00CD17BA">
      <w:pPr>
        <w:spacing w:after="0" w:line="240" w:lineRule="auto"/>
        <w:rPr>
          <w:rFonts w:ascii="Times New Roman" w:eastAsia="Times New Roman" w:hAnsi="Times New Roman" w:cs="Times New Roman"/>
          <w:b/>
          <w:sz w:val="30"/>
          <w:szCs w:val="30"/>
        </w:rPr>
      </w:pPr>
      <w:r w:rsidRPr="006414CB">
        <w:rPr>
          <w:noProof/>
        </w:rPr>
        <w:lastRenderedPageBreak/>
        <w:drawing>
          <wp:inline distT="0" distB="0" distL="0" distR="0" wp14:anchorId="38EDDBEB" wp14:editId="5BD7348C">
            <wp:extent cx="6847840" cy="7567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7567930"/>
                    </a:xfrm>
                    <a:prstGeom prst="rect">
                      <a:avLst/>
                    </a:prstGeom>
                    <a:noFill/>
                    <a:ln>
                      <a:noFill/>
                    </a:ln>
                  </pic:spPr>
                </pic:pic>
              </a:graphicData>
            </a:graphic>
          </wp:inline>
        </w:drawing>
      </w:r>
    </w:p>
    <w:p w14:paraId="067B1F61" w14:textId="7FFAF986" w:rsidR="009D2827" w:rsidRDefault="009D2827" w:rsidP="00CD17BA">
      <w:pPr>
        <w:spacing w:after="0" w:line="240" w:lineRule="auto"/>
        <w:rPr>
          <w:rFonts w:ascii="Times New Roman" w:eastAsia="Times New Roman" w:hAnsi="Times New Roman" w:cs="Times New Roman"/>
          <w:b/>
          <w:sz w:val="30"/>
          <w:szCs w:val="30"/>
        </w:rPr>
      </w:pPr>
    </w:p>
    <w:p w14:paraId="3C6F7B72" w14:textId="55BDEFB9" w:rsidR="009D2827" w:rsidRDefault="006414CB" w:rsidP="00CD17BA">
      <w:pPr>
        <w:spacing w:after="0" w:line="240" w:lineRule="auto"/>
        <w:rPr>
          <w:rFonts w:ascii="Times New Roman" w:eastAsia="Times New Roman" w:hAnsi="Times New Roman" w:cs="Times New Roman"/>
          <w:b/>
          <w:sz w:val="30"/>
          <w:szCs w:val="30"/>
        </w:rPr>
      </w:pPr>
      <w:r w:rsidRPr="006414CB">
        <w:rPr>
          <w:noProof/>
        </w:rPr>
        <w:lastRenderedPageBreak/>
        <w:drawing>
          <wp:inline distT="0" distB="0" distL="0" distR="0" wp14:anchorId="09837EF6" wp14:editId="491C177D">
            <wp:extent cx="6847840" cy="4897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897755"/>
                    </a:xfrm>
                    <a:prstGeom prst="rect">
                      <a:avLst/>
                    </a:prstGeom>
                    <a:noFill/>
                    <a:ln>
                      <a:noFill/>
                    </a:ln>
                  </pic:spPr>
                </pic:pic>
              </a:graphicData>
            </a:graphic>
          </wp:inline>
        </w:drawing>
      </w:r>
    </w:p>
    <w:p w14:paraId="3D7FF7FE" w14:textId="21C00841" w:rsidR="00707D93" w:rsidRDefault="00B80AA6" w:rsidP="00CD17BA">
      <w:pPr>
        <w:spacing w:after="0" w:line="240" w:lineRule="auto"/>
        <w:rPr>
          <w:rFonts w:ascii="Times New Roman" w:eastAsia="Times New Roman" w:hAnsi="Times New Roman" w:cs="Times New Roman"/>
          <w:b/>
          <w:sz w:val="30"/>
          <w:szCs w:val="30"/>
        </w:rPr>
      </w:pPr>
      <w:r w:rsidRPr="00382A9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n3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1E0003" w:rsidRDefault="001E0003" w:rsidP="001E000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publication was prepared by Matthew Krzyzek</w:t>
      </w:r>
      <w:r w:rsidRPr="001E0003">
        <w:rPr>
          <w:rFonts w:ascii="Times New Roman" w:eastAsia="Times New Roman" w:hAnsi="Times New Roman" w:cs="Times New Roman"/>
          <w:sz w:val="23"/>
          <w:szCs w:val="23"/>
        </w:rPr>
        <w:t>, Economist at the Connectic</w:t>
      </w:r>
      <w:r>
        <w:rPr>
          <w:rFonts w:ascii="Times New Roman" w:eastAsia="Times New Roman" w:hAnsi="Times New Roman" w:cs="Times New Roman"/>
          <w:sz w:val="23"/>
          <w:szCs w:val="23"/>
        </w:rPr>
        <w:t>ut Department of Labor</w:t>
      </w:r>
      <w:r w:rsidR="00AF396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Office </w:t>
      </w:r>
      <w:r w:rsidRPr="001E0003">
        <w:rPr>
          <w:rFonts w:ascii="Times New Roman" w:eastAsia="Times New Roman" w:hAnsi="Times New Roman" w:cs="Times New Roman"/>
          <w:sz w:val="23"/>
          <w:szCs w:val="23"/>
        </w:rPr>
        <w:t>of Research. If you have any questions regarding t</w:t>
      </w:r>
      <w:r>
        <w:rPr>
          <w:rFonts w:ascii="Times New Roman" w:eastAsia="Times New Roman" w:hAnsi="Times New Roman" w:cs="Times New Roman"/>
          <w:sz w:val="23"/>
          <w:szCs w:val="23"/>
        </w:rPr>
        <w:t>his publication, please call (860) 263-6287</w:t>
      </w:r>
      <w:r w:rsidRPr="001E0003">
        <w:rPr>
          <w:rFonts w:ascii="Times New Roman" w:eastAsia="Times New Roman" w:hAnsi="Times New Roman" w:cs="Times New Roman"/>
          <w:sz w:val="23"/>
          <w:szCs w:val="23"/>
        </w:rPr>
        <w:t xml:space="preserve"> or</w:t>
      </w:r>
      <w:r>
        <w:rPr>
          <w:rFonts w:ascii="Times New Roman" w:eastAsia="Times New Roman" w:hAnsi="Times New Roman" w:cs="Times New Roman"/>
          <w:sz w:val="23"/>
          <w:szCs w:val="23"/>
        </w:rPr>
        <w:t xml:space="preserve"> Matthew.Krzyzek</w:t>
      </w:r>
      <w:r w:rsidRPr="001E0003">
        <w:rPr>
          <w:rFonts w:ascii="Times New Roman" w:eastAsia="Times New Roman" w:hAnsi="Times New Roman" w:cs="Times New Roman"/>
          <w:sz w:val="23"/>
          <w:szCs w:val="23"/>
        </w:rPr>
        <w:t xml:space="preserve">@ct.gov. </w:t>
      </w:r>
    </w:p>
    <w:p w14:paraId="2F7654F3" w14:textId="77777777" w:rsidR="001E0003" w:rsidRDefault="001E0003" w:rsidP="00CD17BA">
      <w:pPr>
        <w:spacing w:after="0" w:line="240" w:lineRule="auto"/>
        <w:rPr>
          <w:rFonts w:ascii="Times New Roman" w:eastAsia="Times New Roman" w:hAnsi="Times New Roman" w:cs="Times New Roman"/>
          <w:b/>
          <w:sz w:val="30"/>
          <w:szCs w:val="30"/>
        </w:rPr>
      </w:pPr>
    </w:p>
    <w:sectPr w:rsidR="001E0003" w:rsidSect="00D67182">
      <w:footerReference w:type="default" r:id="rId18"/>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6FE1" w14:textId="77777777" w:rsidR="00937526" w:rsidRDefault="00937526" w:rsidP="00D01564">
      <w:pPr>
        <w:spacing w:after="0" w:line="240" w:lineRule="auto"/>
      </w:pPr>
      <w:r>
        <w:separator/>
      </w:r>
    </w:p>
  </w:endnote>
  <w:endnote w:type="continuationSeparator" w:id="0">
    <w:p w14:paraId="60A328B5" w14:textId="77777777" w:rsidR="00937526" w:rsidRDefault="00937526"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5A840" w14:textId="77777777" w:rsidR="00937526" w:rsidRDefault="00937526" w:rsidP="00D01564">
      <w:pPr>
        <w:spacing w:after="0" w:line="240" w:lineRule="auto"/>
      </w:pPr>
      <w:r>
        <w:separator/>
      </w:r>
    </w:p>
  </w:footnote>
  <w:footnote w:type="continuationSeparator" w:id="0">
    <w:p w14:paraId="746DEE9C" w14:textId="77777777" w:rsidR="00937526" w:rsidRDefault="00937526"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10CD"/>
    <w:rsid w:val="000024BA"/>
    <w:rsid w:val="00007571"/>
    <w:rsid w:val="00013B9D"/>
    <w:rsid w:val="00020E4E"/>
    <w:rsid w:val="00026DE4"/>
    <w:rsid w:val="00033251"/>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4767"/>
    <w:rsid w:val="00196125"/>
    <w:rsid w:val="001A1EFF"/>
    <w:rsid w:val="001A38F9"/>
    <w:rsid w:val="001C16AF"/>
    <w:rsid w:val="001C47FE"/>
    <w:rsid w:val="001C51CA"/>
    <w:rsid w:val="001C78F8"/>
    <w:rsid w:val="001D0072"/>
    <w:rsid w:val="001E0003"/>
    <w:rsid w:val="001E08C5"/>
    <w:rsid w:val="001E2480"/>
    <w:rsid w:val="001E7CB2"/>
    <w:rsid w:val="001F0AF4"/>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2E66"/>
    <w:rsid w:val="002D2EDC"/>
    <w:rsid w:val="002D43D7"/>
    <w:rsid w:val="002D473B"/>
    <w:rsid w:val="002D73F8"/>
    <w:rsid w:val="002E1885"/>
    <w:rsid w:val="002E1AED"/>
    <w:rsid w:val="002E44F2"/>
    <w:rsid w:val="002E60B1"/>
    <w:rsid w:val="002F3968"/>
    <w:rsid w:val="002F55E7"/>
    <w:rsid w:val="002F5DF8"/>
    <w:rsid w:val="003010C5"/>
    <w:rsid w:val="00303CFD"/>
    <w:rsid w:val="003109A6"/>
    <w:rsid w:val="003111AC"/>
    <w:rsid w:val="00316093"/>
    <w:rsid w:val="003217F1"/>
    <w:rsid w:val="00324DDA"/>
    <w:rsid w:val="003253C7"/>
    <w:rsid w:val="00333397"/>
    <w:rsid w:val="00341912"/>
    <w:rsid w:val="003451E7"/>
    <w:rsid w:val="00350766"/>
    <w:rsid w:val="0035187A"/>
    <w:rsid w:val="0035272E"/>
    <w:rsid w:val="00360AA3"/>
    <w:rsid w:val="003621D9"/>
    <w:rsid w:val="00363A29"/>
    <w:rsid w:val="00363E6A"/>
    <w:rsid w:val="003647EF"/>
    <w:rsid w:val="0037161D"/>
    <w:rsid w:val="00371AED"/>
    <w:rsid w:val="0037525C"/>
    <w:rsid w:val="00376CD4"/>
    <w:rsid w:val="00382A92"/>
    <w:rsid w:val="00382E0C"/>
    <w:rsid w:val="00386E79"/>
    <w:rsid w:val="003922C6"/>
    <w:rsid w:val="00393C2B"/>
    <w:rsid w:val="003A0925"/>
    <w:rsid w:val="003B059E"/>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33E67"/>
    <w:rsid w:val="00434063"/>
    <w:rsid w:val="0044614B"/>
    <w:rsid w:val="00446580"/>
    <w:rsid w:val="004475D3"/>
    <w:rsid w:val="00450B9B"/>
    <w:rsid w:val="00451DAC"/>
    <w:rsid w:val="00455DCD"/>
    <w:rsid w:val="0046513C"/>
    <w:rsid w:val="00465459"/>
    <w:rsid w:val="00471C8A"/>
    <w:rsid w:val="00476B91"/>
    <w:rsid w:val="0048443E"/>
    <w:rsid w:val="00491800"/>
    <w:rsid w:val="00492127"/>
    <w:rsid w:val="0049367C"/>
    <w:rsid w:val="004A2BC0"/>
    <w:rsid w:val="004A5157"/>
    <w:rsid w:val="004A5201"/>
    <w:rsid w:val="004B2C9F"/>
    <w:rsid w:val="004C4F31"/>
    <w:rsid w:val="004E7882"/>
    <w:rsid w:val="004F3949"/>
    <w:rsid w:val="00511168"/>
    <w:rsid w:val="00515CB9"/>
    <w:rsid w:val="00516C85"/>
    <w:rsid w:val="00520D02"/>
    <w:rsid w:val="00520E0D"/>
    <w:rsid w:val="00526D32"/>
    <w:rsid w:val="0053001F"/>
    <w:rsid w:val="00530AD8"/>
    <w:rsid w:val="00530B83"/>
    <w:rsid w:val="0053266D"/>
    <w:rsid w:val="00532CD4"/>
    <w:rsid w:val="00540D0A"/>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7F95"/>
    <w:rsid w:val="005D058B"/>
    <w:rsid w:val="005D0B53"/>
    <w:rsid w:val="005E129D"/>
    <w:rsid w:val="005F4716"/>
    <w:rsid w:val="005F5F10"/>
    <w:rsid w:val="005F6772"/>
    <w:rsid w:val="00603716"/>
    <w:rsid w:val="006203C3"/>
    <w:rsid w:val="0062694C"/>
    <w:rsid w:val="00637834"/>
    <w:rsid w:val="006414CB"/>
    <w:rsid w:val="006420A4"/>
    <w:rsid w:val="00645502"/>
    <w:rsid w:val="0065207E"/>
    <w:rsid w:val="00653FC6"/>
    <w:rsid w:val="006627A6"/>
    <w:rsid w:val="00662815"/>
    <w:rsid w:val="006765A2"/>
    <w:rsid w:val="00681321"/>
    <w:rsid w:val="00682DC8"/>
    <w:rsid w:val="00684BAC"/>
    <w:rsid w:val="0069781C"/>
    <w:rsid w:val="006A2FFF"/>
    <w:rsid w:val="006A7741"/>
    <w:rsid w:val="006B0C07"/>
    <w:rsid w:val="006B2706"/>
    <w:rsid w:val="006B2E5F"/>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E27"/>
    <w:rsid w:val="007311D4"/>
    <w:rsid w:val="00735998"/>
    <w:rsid w:val="00736645"/>
    <w:rsid w:val="00745757"/>
    <w:rsid w:val="0075230D"/>
    <w:rsid w:val="00757765"/>
    <w:rsid w:val="00757BBD"/>
    <w:rsid w:val="007612A6"/>
    <w:rsid w:val="00776C04"/>
    <w:rsid w:val="00783440"/>
    <w:rsid w:val="00784095"/>
    <w:rsid w:val="00785588"/>
    <w:rsid w:val="00786276"/>
    <w:rsid w:val="00793B60"/>
    <w:rsid w:val="007959F7"/>
    <w:rsid w:val="007A09CF"/>
    <w:rsid w:val="007A09FE"/>
    <w:rsid w:val="007A3266"/>
    <w:rsid w:val="007A3F5D"/>
    <w:rsid w:val="007A7078"/>
    <w:rsid w:val="007B4991"/>
    <w:rsid w:val="007B4B96"/>
    <w:rsid w:val="007B5DDF"/>
    <w:rsid w:val="007C077A"/>
    <w:rsid w:val="007C2F60"/>
    <w:rsid w:val="007C32D0"/>
    <w:rsid w:val="007D11B8"/>
    <w:rsid w:val="007D3F02"/>
    <w:rsid w:val="007D7712"/>
    <w:rsid w:val="007D7788"/>
    <w:rsid w:val="007E792A"/>
    <w:rsid w:val="007F462B"/>
    <w:rsid w:val="007F4A48"/>
    <w:rsid w:val="008053B4"/>
    <w:rsid w:val="00805CE5"/>
    <w:rsid w:val="00806F9D"/>
    <w:rsid w:val="00807C4E"/>
    <w:rsid w:val="008172C6"/>
    <w:rsid w:val="00820E4E"/>
    <w:rsid w:val="008335D6"/>
    <w:rsid w:val="008372AA"/>
    <w:rsid w:val="00840654"/>
    <w:rsid w:val="00842AE0"/>
    <w:rsid w:val="00842C33"/>
    <w:rsid w:val="00842F3B"/>
    <w:rsid w:val="00845B02"/>
    <w:rsid w:val="0085230C"/>
    <w:rsid w:val="00852AD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7176"/>
    <w:rsid w:val="00933A8F"/>
    <w:rsid w:val="00937526"/>
    <w:rsid w:val="009378A2"/>
    <w:rsid w:val="00942737"/>
    <w:rsid w:val="009435B8"/>
    <w:rsid w:val="009512C8"/>
    <w:rsid w:val="00952640"/>
    <w:rsid w:val="009542A8"/>
    <w:rsid w:val="009542B5"/>
    <w:rsid w:val="0095489A"/>
    <w:rsid w:val="009601D6"/>
    <w:rsid w:val="00961C6B"/>
    <w:rsid w:val="00964E60"/>
    <w:rsid w:val="00970742"/>
    <w:rsid w:val="00970CE8"/>
    <w:rsid w:val="00972086"/>
    <w:rsid w:val="00981B46"/>
    <w:rsid w:val="00981F63"/>
    <w:rsid w:val="00983FDC"/>
    <w:rsid w:val="0098528D"/>
    <w:rsid w:val="00990A3A"/>
    <w:rsid w:val="00997D3D"/>
    <w:rsid w:val="009A0DC4"/>
    <w:rsid w:val="009B5C2E"/>
    <w:rsid w:val="009C0C27"/>
    <w:rsid w:val="009D2827"/>
    <w:rsid w:val="009D2CDC"/>
    <w:rsid w:val="009E1801"/>
    <w:rsid w:val="009E641D"/>
    <w:rsid w:val="009E79EC"/>
    <w:rsid w:val="00A0654D"/>
    <w:rsid w:val="00A07290"/>
    <w:rsid w:val="00A13B42"/>
    <w:rsid w:val="00A1688B"/>
    <w:rsid w:val="00A17100"/>
    <w:rsid w:val="00A33C8D"/>
    <w:rsid w:val="00A357A8"/>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97CB6"/>
    <w:rsid w:val="00AA6ED5"/>
    <w:rsid w:val="00AB2DCA"/>
    <w:rsid w:val="00AB4403"/>
    <w:rsid w:val="00AB4816"/>
    <w:rsid w:val="00AB5797"/>
    <w:rsid w:val="00AB7770"/>
    <w:rsid w:val="00AC456D"/>
    <w:rsid w:val="00AC5532"/>
    <w:rsid w:val="00AC73E2"/>
    <w:rsid w:val="00AD0A63"/>
    <w:rsid w:val="00AE4F08"/>
    <w:rsid w:val="00AE73B2"/>
    <w:rsid w:val="00AF2F79"/>
    <w:rsid w:val="00AF3963"/>
    <w:rsid w:val="00AF6670"/>
    <w:rsid w:val="00AF7560"/>
    <w:rsid w:val="00B03A07"/>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7135C"/>
    <w:rsid w:val="00B757C2"/>
    <w:rsid w:val="00B80AA6"/>
    <w:rsid w:val="00B84D09"/>
    <w:rsid w:val="00B9206D"/>
    <w:rsid w:val="00BA19B3"/>
    <w:rsid w:val="00BA5D8C"/>
    <w:rsid w:val="00BB11D2"/>
    <w:rsid w:val="00BB71B3"/>
    <w:rsid w:val="00BC040C"/>
    <w:rsid w:val="00BC3FE9"/>
    <w:rsid w:val="00BC4BC8"/>
    <w:rsid w:val="00BC534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3528"/>
    <w:rsid w:val="00C4512C"/>
    <w:rsid w:val="00C45643"/>
    <w:rsid w:val="00C71599"/>
    <w:rsid w:val="00C77ECD"/>
    <w:rsid w:val="00C82870"/>
    <w:rsid w:val="00C82BCA"/>
    <w:rsid w:val="00C91631"/>
    <w:rsid w:val="00CA444B"/>
    <w:rsid w:val="00CA6A74"/>
    <w:rsid w:val="00CA6D6B"/>
    <w:rsid w:val="00CB5B14"/>
    <w:rsid w:val="00CC38A3"/>
    <w:rsid w:val="00CC3E5F"/>
    <w:rsid w:val="00CC3F4D"/>
    <w:rsid w:val="00CC47A4"/>
    <w:rsid w:val="00CD0AA2"/>
    <w:rsid w:val="00CD17BA"/>
    <w:rsid w:val="00CD40EF"/>
    <w:rsid w:val="00CD53D3"/>
    <w:rsid w:val="00CE126A"/>
    <w:rsid w:val="00CE6F14"/>
    <w:rsid w:val="00CE7CEE"/>
    <w:rsid w:val="00CF3447"/>
    <w:rsid w:val="00D00E98"/>
    <w:rsid w:val="00D01564"/>
    <w:rsid w:val="00D01809"/>
    <w:rsid w:val="00D04A03"/>
    <w:rsid w:val="00D07603"/>
    <w:rsid w:val="00D12983"/>
    <w:rsid w:val="00D171DE"/>
    <w:rsid w:val="00D204BE"/>
    <w:rsid w:val="00D214BA"/>
    <w:rsid w:val="00D21960"/>
    <w:rsid w:val="00D2556A"/>
    <w:rsid w:val="00D31FD2"/>
    <w:rsid w:val="00D42F0A"/>
    <w:rsid w:val="00D44353"/>
    <w:rsid w:val="00D445E7"/>
    <w:rsid w:val="00D4480F"/>
    <w:rsid w:val="00D66496"/>
    <w:rsid w:val="00D67182"/>
    <w:rsid w:val="00D729B1"/>
    <w:rsid w:val="00D75F02"/>
    <w:rsid w:val="00D8500D"/>
    <w:rsid w:val="00D86CE6"/>
    <w:rsid w:val="00D94108"/>
    <w:rsid w:val="00D97E20"/>
    <w:rsid w:val="00DA4193"/>
    <w:rsid w:val="00DA59FC"/>
    <w:rsid w:val="00DC16C8"/>
    <w:rsid w:val="00DC2208"/>
    <w:rsid w:val="00DC5DC6"/>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A0D"/>
    <w:rsid w:val="00E83E12"/>
    <w:rsid w:val="00E950E5"/>
    <w:rsid w:val="00E959E8"/>
    <w:rsid w:val="00EA721D"/>
    <w:rsid w:val="00EC7340"/>
    <w:rsid w:val="00ED2350"/>
    <w:rsid w:val="00ED49BA"/>
    <w:rsid w:val="00ED6158"/>
    <w:rsid w:val="00ED6C0B"/>
    <w:rsid w:val="00EE784C"/>
    <w:rsid w:val="00F00A72"/>
    <w:rsid w:val="00F03F5A"/>
    <w:rsid w:val="00F076B2"/>
    <w:rsid w:val="00F11634"/>
    <w:rsid w:val="00F118D5"/>
    <w:rsid w:val="00F23202"/>
    <w:rsid w:val="00F26DE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Chart</a:t>
            </a:r>
            <a:r>
              <a:rPr lang="en-US" sz="1000" baseline="0"/>
              <a:t> 1. CT Private sector gross job gains and gross job losses, seasonally adjusted 2009-2020</a:t>
            </a:r>
          </a:p>
          <a:p>
            <a:pPr>
              <a:defRPr/>
            </a:pPr>
            <a:endParaRPr lang="en-US"/>
          </a:p>
        </c:rich>
      </c:tx>
      <c:overlay val="0"/>
    </c:title>
    <c:autoTitleDeleted val="0"/>
    <c:plotArea>
      <c:layout>
        <c:manualLayout>
          <c:layoutTarget val="inner"/>
          <c:xMode val="edge"/>
          <c:yMode val="edge"/>
          <c:x val="0.13525240594925633"/>
          <c:y val="0.17818314377369496"/>
          <c:w val="0.79581627296587931"/>
          <c:h val="0.61573444441494318"/>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1-3'!$F$72:$F$119</c:f>
              <c:numCache>
                <c:formatCode>General</c:formatCode>
                <c:ptCount val="48"/>
                <c:pt idx="0">
                  <c:v>270000</c:v>
                </c:pt>
                <c:pt idx="1">
                  <c:v>270000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270000</c:v>
                </c:pt>
                <c:pt idx="45">
                  <c:v>270000</c:v>
                </c:pt>
                <c:pt idx="46">
                  <c:v>270000</c:v>
                </c:pt>
                <c:pt idx="47">
                  <c:v>270000</c:v>
                </c:pt>
              </c:numCache>
            </c:numRef>
          </c:val>
          <c:extLst>
            <c:ext xmlns:c16="http://schemas.microsoft.com/office/drawing/2014/chart" uri="{C3380CC4-5D6E-409C-BE32-E72D297353CC}">
              <c16:uniqueId val="{00000000-C5E8-460A-9D45-9E353A4EF049}"/>
            </c:ext>
          </c:extLst>
        </c:ser>
        <c:dLbls>
          <c:showLegendKey val="0"/>
          <c:showVal val="0"/>
          <c:showCatName val="0"/>
          <c:showSerName val="0"/>
          <c:showPercent val="0"/>
          <c:showBubbleSize val="0"/>
        </c:dLbls>
        <c:gapWidth val="0"/>
        <c:axId val="102150528"/>
        <c:axId val="102152064"/>
      </c:barChart>
      <c:lineChart>
        <c:grouping val="standard"/>
        <c:varyColors val="0"/>
        <c:ser>
          <c:idx val="0"/>
          <c:order val="0"/>
          <c:tx>
            <c:strRef>
              <c:f>'Chart 1-3'!$N$4</c:f>
              <c:strCache>
                <c:ptCount val="1"/>
                <c:pt idx="0">
                  <c:v>Gross Job Gains</c:v>
                </c:pt>
              </c:strCache>
            </c:strRef>
          </c:tx>
          <c:marker>
            <c:symbol val="none"/>
          </c:marker>
          <c:cat>
            <c:multiLvlStrRef>
              <c:f>'Chart 1-3'!$H$72:$I$119</c:f>
              <c:multiLvlStrCache>
                <c:ptCount val="4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lvl>
              </c:multiLvlStrCache>
            </c:multiLvlStrRef>
          </c:cat>
          <c:val>
            <c:numRef>
              <c:f>'Chart 1-3'!$N$72:$N$119</c:f>
              <c:numCache>
                <c:formatCode>#,##0</c:formatCode>
                <c:ptCount val="48"/>
                <c:pt idx="0">
                  <c:v>64465</c:v>
                </c:pt>
                <c:pt idx="1">
                  <c:v>69097</c:v>
                </c:pt>
                <c:pt idx="2">
                  <c:v>70210</c:v>
                </c:pt>
                <c:pt idx="3">
                  <c:v>70887</c:v>
                </c:pt>
                <c:pt idx="4">
                  <c:v>69519</c:v>
                </c:pt>
                <c:pt idx="5">
                  <c:v>82816</c:v>
                </c:pt>
                <c:pt idx="6">
                  <c:v>72276</c:v>
                </c:pt>
                <c:pt idx="7">
                  <c:v>74103</c:v>
                </c:pt>
                <c:pt idx="8">
                  <c:v>69115</c:v>
                </c:pt>
                <c:pt idx="9">
                  <c:v>76931</c:v>
                </c:pt>
                <c:pt idx="10">
                  <c:v>74494</c:v>
                </c:pt>
                <c:pt idx="11">
                  <c:v>72555</c:v>
                </c:pt>
                <c:pt idx="12">
                  <c:v>77552</c:v>
                </c:pt>
                <c:pt idx="13">
                  <c:v>74832</c:v>
                </c:pt>
                <c:pt idx="14">
                  <c:v>73061</c:v>
                </c:pt>
                <c:pt idx="15">
                  <c:v>75616</c:v>
                </c:pt>
                <c:pt idx="16">
                  <c:v>72740</c:v>
                </c:pt>
                <c:pt idx="17">
                  <c:v>78049</c:v>
                </c:pt>
                <c:pt idx="18">
                  <c:v>74755</c:v>
                </c:pt>
                <c:pt idx="19">
                  <c:v>73001</c:v>
                </c:pt>
                <c:pt idx="20">
                  <c:v>72610</c:v>
                </c:pt>
                <c:pt idx="21">
                  <c:v>78906</c:v>
                </c:pt>
                <c:pt idx="22">
                  <c:v>74121</c:v>
                </c:pt>
                <c:pt idx="23">
                  <c:v>76723</c:v>
                </c:pt>
                <c:pt idx="24">
                  <c:v>68683</c:v>
                </c:pt>
                <c:pt idx="25">
                  <c:v>80236</c:v>
                </c:pt>
                <c:pt idx="26">
                  <c:v>72982</c:v>
                </c:pt>
                <c:pt idx="27">
                  <c:v>77460</c:v>
                </c:pt>
                <c:pt idx="28">
                  <c:v>75322</c:v>
                </c:pt>
                <c:pt idx="29">
                  <c:v>76892</c:v>
                </c:pt>
                <c:pt idx="30">
                  <c:v>75239</c:v>
                </c:pt>
                <c:pt idx="31">
                  <c:v>72872</c:v>
                </c:pt>
                <c:pt idx="32">
                  <c:v>84107</c:v>
                </c:pt>
                <c:pt idx="33">
                  <c:v>82000</c:v>
                </c:pt>
                <c:pt idx="34">
                  <c:v>76708</c:v>
                </c:pt>
                <c:pt idx="35" formatCode="General">
                  <c:v>76378</c:v>
                </c:pt>
                <c:pt idx="36" formatCode="General">
                  <c:v>74276</c:v>
                </c:pt>
                <c:pt idx="37" formatCode="General">
                  <c:v>82989</c:v>
                </c:pt>
                <c:pt idx="38" formatCode="General">
                  <c:v>76374</c:v>
                </c:pt>
                <c:pt idx="39" formatCode="General">
                  <c:v>76067</c:v>
                </c:pt>
                <c:pt idx="40" formatCode="General">
                  <c:v>75200</c:v>
                </c:pt>
                <c:pt idx="41" formatCode="General">
                  <c:v>82854</c:v>
                </c:pt>
                <c:pt idx="42" formatCode="General">
                  <c:v>79268</c:v>
                </c:pt>
                <c:pt idx="43" formatCode="General">
                  <c:v>78282</c:v>
                </c:pt>
                <c:pt idx="44" formatCode="General">
                  <c:v>74079</c:v>
                </c:pt>
                <c:pt idx="45" formatCode="General">
                  <c:v>57620</c:v>
                </c:pt>
                <c:pt idx="46" formatCode="General">
                  <c:v>145865</c:v>
                </c:pt>
                <c:pt idx="47" formatCode="General">
                  <c:v>87068</c:v>
                </c:pt>
              </c:numCache>
            </c:numRef>
          </c:val>
          <c:smooth val="0"/>
          <c:extLst>
            <c:ext xmlns:c16="http://schemas.microsoft.com/office/drawing/2014/chart" uri="{C3380CC4-5D6E-409C-BE32-E72D297353CC}">
              <c16:uniqueId val="{00000001-C5E8-460A-9D45-9E353A4EF049}"/>
            </c:ext>
          </c:extLst>
        </c:ser>
        <c:ser>
          <c:idx val="1"/>
          <c:order val="1"/>
          <c:tx>
            <c:strRef>
              <c:f>'Chart 1-3'!$Q$4</c:f>
              <c:strCache>
                <c:ptCount val="1"/>
                <c:pt idx="0">
                  <c:v>Gross Job Losses</c:v>
                </c:pt>
              </c:strCache>
            </c:strRef>
          </c:tx>
          <c:spPr>
            <a:ln>
              <a:solidFill>
                <a:srgbClr val="FF0000"/>
              </a:solidFill>
              <a:prstDash val="solid"/>
            </a:ln>
          </c:spPr>
          <c:marker>
            <c:symbol val="none"/>
          </c:marker>
          <c:cat>
            <c:multiLvlStrRef>
              <c:f>'Chart 1-3'!$H$72:$I$119</c:f>
              <c:multiLvlStrCache>
                <c:ptCount val="4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lvl>
              </c:multiLvlStrCache>
            </c:multiLvlStrRef>
          </c:cat>
          <c:val>
            <c:numRef>
              <c:f>'Chart 1-3'!$Q$72:$Q$119</c:f>
              <c:numCache>
                <c:formatCode>#,##0</c:formatCode>
                <c:ptCount val="48"/>
                <c:pt idx="0">
                  <c:v>93164</c:v>
                </c:pt>
                <c:pt idx="1">
                  <c:v>87434</c:v>
                </c:pt>
                <c:pt idx="2">
                  <c:v>79456</c:v>
                </c:pt>
                <c:pt idx="3">
                  <c:v>76384</c:v>
                </c:pt>
                <c:pt idx="4">
                  <c:v>82630</c:v>
                </c:pt>
                <c:pt idx="5">
                  <c:v>67774</c:v>
                </c:pt>
                <c:pt idx="6">
                  <c:v>66302</c:v>
                </c:pt>
                <c:pt idx="7">
                  <c:v>71576</c:v>
                </c:pt>
                <c:pt idx="8">
                  <c:v>69428</c:v>
                </c:pt>
                <c:pt idx="9">
                  <c:v>68522</c:v>
                </c:pt>
                <c:pt idx="10">
                  <c:v>68876</c:v>
                </c:pt>
                <c:pt idx="11">
                  <c:v>71196</c:v>
                </c:pt>
                <c:pt idx="12">
                  <c:v>68188</c:v>
                </c:pt>
                <c:pt idx="13">
                  <c:v>69496</c:v>
                </c:pt>
                <c:pt idx="14">
                  <c:v>74419</c:v>
                </c:pt>
                <c:pt idx="15">
                  <c:v>71122</c:v>
                </c:pt>
                <c:pt idx="16">
                  <c:v>72482</c:v>
                </c:pt>
                <c:pt idx="17">
                  <c:v>67983</c:v>
                </c:pt>
                <c:pt idx="18">
                  <c:v>75093</c:v>
                </c:pt>
                <c:pt idx="19">
                  <c:v>75950</c:v>
                </c:pt>
                <c:pt idx="20">
                  <c:v>70918</c:v>
                </c:pt>
                <c:pt idx="21">
                  <c:v>69390</c:v>
                </c:pt>
                <c:pt idx="22">
                  <c:v>73350</c:v>
                </c:pt>
                <c:pt idx="23">
                  <c:v>73909</c:v>
                </c:pt>
                <c:pt idx="24">
                  <c:v>72996</c:v>
                </c:pt>
                <c:pt idx="25">
                  <c:v>71222</c:v>
                </c:pt>
                <c:pt idx="26">
                  <c:v>82936</c:v>
                </c:pt>
                <c:pt idx="27">
                  <c:v>71264</c:v>
                </c:pt>
                <c:pt idx="28">
                  <c:v>71699</c:v>
                </c:pt>
                <c:pt idx="29">
                  <c:v>76862</c:v>
                </c:pt>
                <c:pt idx="30">
                  <c:v>75608</c:v>
                </c:pt>
                <c:pt idx="31">
                  <c:v>75603</c:v>
                </c:pt>
                <c:pt idx="32">
                  <c:v>76887</c:v>
                </c:pt>
                <c:pt idx="33">
                  <c:v>75550</c:v>
                </c:pt>
                <c:pt idx="34">
                  <c:v>82955</c:v>
                </c:pt>
                <c:pt idx="35" formatCode="General">
                  <c:v>75531</c:v>
                </c:pt>
                <c:pt idx="36" formatCode="General">
                  <c:v>76356</c:v>
                </c:pt>
                <c:pt idx="37" formatCode="General">
                  <c:v>73356</c:v>
                </c:pt>
                <c:pt idx="38" formatCode="General">
                  <c:v>81499</c:v>
                </c:pt>
                <c:pt idx="39" formatCode="General">
                  <c:v>71619</c:v>
                </c:pt>
                <c:pt idx="40" formatCode="General">
                  <c:v>82197</c:v>
                </c:pt>
                <c:pt idx="41" formatCode="General">
                  <c:v>82692</c:v>
                </c:pt>
                <c:pt idx="42" formatCode="General">
                  <c:v>82472</c:v>
                </c:pt>
                <c:pt idx="43" formatCode="General">
                  <c:v>79999</c:v>
                </c:pt>
                <c:pt idx="44" formatCode="General">
                  <c:v>84157</c:v>
                </c:pt>
                <c:pt idx="45" formatCode="_(* #,##0_);_(* \(#,##0\);_(* &quot;-&quot;??_);_(@_)">
                  <c:v>265693</c:v>
                </c:pt>
                <c:pt idx="46" formatCode="General">
                  <c:v>66466</c:v>
                </c:pt>
                <c:pt idx="47" formatCode="General">
                  <c:v>77371</c:v>
                </c:pt>
              </c:numCache>
            </c:numRef>
          </c:val>
          <c:smooth val="0"/>
          <c:extLst>
            <c:ext xmlns:c16="http://schemas.microsoft.com/office/drawing/2014/chart" uri="{C3380CC4-5D6E-409C-BE32-E72D297353CC}">
              <c16:uniqueId val="{00000002-C5E8-460A-9D45-9E353A4EF049}"/>
            </c:ext>
          </c:extLst>
        </c:ser>
        <c:dLbls>
          <c:showLegendKey val="0"/>
          <c:showVal val="0"/>
          <c:showCatName val="0"/>
          <c:showSerName val="0"/>
          <c:showPercent val="0"/>
          <c:showBubbleSize val="0"/>
        </c:dLbls>
        <c:marker val="1"/>
        <c:smooth val="0"/>
        <c:axId val="102150528"/>
        <c:axId val="102152064"/>
      </c:lineChart>
      <c:catAx>
        <c:axId val="102150528"/>
        <c:scaling>
          <c:orientation val="minMax"/>
        </c:scaling>
        <c:delete val="0"/>
        <c:axPos val="b"/>
        <c:numFmt formatCode="General" sourceLinked="1"/>
        <c:majorTickMark val="out"/>
        <c:minorTickMark val="none"/>
        <c:tickLblPos val="nextTo"/>
        <c:txPr>
          <a:bodyPr/>
          <a:lstStyle/>
          <a:p>
            <a:pPr>
              <a:defRPr sz="850">
                <a:solidFill>
                  <a:schemeClr val="tx1"/>
                </a:solidFill>
              </a:defRPr>
            </a:pPr>
            <a:endParaRPr lang="en-US"/>
          </a:p>
        </c:txPr>
        <c:crossAx val="102152064"/>
        <c:crosses val="autoZero"/>
        <c:auto val="1"/>
        <c:lblAlgn val="ctr"/>
        <c:lblOffset val="100"/>
        <c:noMultiLvlLbl val="0"/>
      </c:catAx>
      <c:valAx>
        <c:axId val="102152064"/>
        <c:scaling>
          <c:orientation val="minMax"/>
          <c:max val="270000"/>
        </c:scaling>
        <c:delete val="0"/>
        <c:axPos val="l"/>
        <c:majorGridlines/>
        <c:numFmt formatCode="#,##0" sourceLinked="0"/>
        <c:majorTickMark val="out"/>
        <c:minorTickMark val="none"/>
        <c:tickLblPos val="nextTo"/>
        <c:crossAx val="102150528"/>
        <c:crosses val="autoZero"/>
        <c:crossBetween val="between"/>
      </c:valAx>
      <c:spPr>
        <a:solidFill>
          <a:srgbClr val="FFFFFF"/>
        </a:solidFill>
      </c:spPr>
    </c:plotArea>
    <c:legend>
      <c:legendPos val="r"/>
      <c:legendEntry>
        <c:idx val="0"/>
        <c:delete val="1"/>
      </c:legendEntry>
      <c:layout>
        <c:manualLayout>
          <c:xMode val="edge"/>
          <c:yMode val="edge"/>
          <c:x val="0.60086032724170346"/>
          <c:y val="0.28664536167162669"/>
          <c:w val="0.27715496498014502"/>
          <c:h val="0.21380237931271839"/>
        </c:manualLayout>
      </c:layout>
      <c:overlay val="0"/>
    </c:legend>
    <c:plotVisOnly val="1"/>
    <c:dispBlanksAs val="gap"/>
    <c:showDLblsOverMax val="0"/>
  </c:chart>
  <c:spPr>
    <a:solidFill>
      <a:srgbClr val="FFFFFF"/>
    </a:solidFill>
    <a:ln>
      <a:solidFill>
        <a:schemeClr val="tx1">
          <a:lumMod val="50000"/>
          <a:lumOff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2. Components of CT private sector gross job gains and gross  job losses at expanding and contracting establishments, seasonally adjusted.  2009-2020</a:t>
            </a:r>
            <a:endParaRPr lang="en-US" sz="950">
              <a:effectLst/>
            </a:endParaRPr>
          </a:p>
        </c:rich>
      </c:tx>
      <c:layout>
        <c:manualLayout>
          <c:xMode val="edge"/>
          <c:yMode val="edge"/>
          <c:x val="0.10103277617037404"/>
          <c:y val="0"/>
        </c:manualLayout>
      </c:layout>
      <c:overlay val="0"/>
    </c:title>
    <c:autoTitleDeleted val="0"/>
    <c:plotArea>
      <c:layout>
        <c:manualLayout>
          <c:layoutTarget val="inner"/>
          <c:xMode val="edge"/>
          <c:yMode val="edge"/>
          <c:x val="0.13525240594925633"/>
          <c:y val="0.17818314377369496"/>
          <c:w val="0.79855463201132293"/>
          <c:h val="0.60363808690580345"/>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1-3'!$E$72:$E$119</c:f>
              <c:numCache>
                <c:formatCode>General</c:formatCode>
                <c:ptCount val="48"/>
                <c:pt idx="0">
                  <c:v>250000</c:v>
                </c:pt>
                <c:pt idx="1">
                  <c:v>250000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250000</c:v>
                </c:pt>
                <c:pt idx="45">
                  <c:v>250000</c:v>
                </c:pt>
                <c:pt idx="46">
                  <c:v>250000</c:v>
                </c:pt>
                <c:pt idx="47">
                  <c:v>250000</c:v>
                </c:pt>
              </c:numCache>
            </c:numRef>
          </c:val>
          <c:extLst>
            <c:ext xmlns:c16="http://schemas.microsoft.com/office/drawing/2014/chart" uri="{C3380CC4-5D6E-409C-BE32-E72D297353CC}">
              <c16:uniqueId val="{00000000-76F7-4616-B42B-F8B3DA5484A1}"/>
            </c:ext>
          </c:extLst>
        </c:ser>
        <c:dLbls>
          <c:showLegendKey val="0"/>
          <c:showVal val="0"/>
          <c:showCatName val="0"/>
          <c:showSerName val="0"/>
          <c:showPercent val="0"/>
          <c:showBubbleSize val="0"/>
        </c:dLbls>
        <c:gapWidth val="0"/>
        <c:axId val="102535552"/>
        <c:axId val="102537088"/>
      </c:barChart>
      <c:lineChart>
        <c:grouping val="standard"/>
        <c:varyColors val="0"/>
        <c:ser>
          <c:idx val="0"/>
          <c:order val="0"/>
          <c:tx>
            <c:strRef>
              <c:f>'Chart 1-3'!$O$4</c:f>
              <c:strCache>
                <c:ptCount val="1"/>
                <c:pt idx="0">
                  <c:v>Expansions</c:v>
                </c:pt>
              </c:strCache>
            </c:strRef>
          </c:tx>
          <c:marker>
            <c:symbol val="none"/>
          </c:marker>
          <c:cat>
            <c:multiLvlStrRef>
              <c:f>'Chart 1-3'!$H$72:$I$119</c:f>
              <c:multiLvlStrCache>
                <c:ptCount val="4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lvl>
              </c:multiLvlStrCache>
            </c:multiLvlStrRef>
          </c:cat>
          <c:val>
            <c:numRef>
              <c:f>'Chart 1-3'!$O$72:$O$119</c:f>
              <c:numCache>
                <c:formatCode>#,##0</c:formatCode>
                <c:ptCount val="48"/>
                <c:pt idx="0">
                  <c:v>54991</c:v>
                </c:pt>
                <c:pt idx="1">
                  <c:v>60568</c:v>
                </c:pt>
                <c:pt idx="2">
                  <c:v>60949</c:v>
                </c:pt>
                <c:pt idx="3">
                  <c:v>61646</c:v>
                </c:pt>
                <c:pt idx="4">
                  <c:v>60528</c:v>
                </c:pt>
                <c:pt idx="5">
                  <c:v>67753</c:v>
                </c:pt>
                <c:pt idx="6">
                  <c:v>62360</c:v>
                </c:pt>
                <c:pt idx="7">
                  <c:v>64247</c:v>
                </c:pt>
                <c:pt idx="8">
                  <c:v>60869</c:v>
                </c:pt>
                <c:pt idx="9">
                  <c:v>66090</c:v>
                </c:pt>
                <c:pt idx="10">
                  <c:v>63763</c:v>
                </c:pt>
                <c:pt idx="11">
                  <c:v>62452</c:v>
                </c:pt>
                <c:pt idx="12">
                  <c:v>67456</c:v>
                </c:pt>
                <c:pt idx="13">
                  <c:v>64525</c:v>
                </c:pt>
                <c:pt idx="14">
                  <c:v>62902</c:v>
                </c:pt>
                <c:pt idx="15">
                  <c:v>65285</c:v>
                </c:pt>
                <c:pt idx="16">
                  <c:v>63148</c:v>
                </c:pt>
                <c:pt idx="17">
                  <c:v>66695</c:v>
                </c:pt>
                <c:pt idx="18">
                  <c:v>64712</c:v>
                </c:pt>
                <c:pt idx="19">
                  <c:v>62564</c:v>
                </c:pt>
                <c:pt idx="20">
                  <c:v>63975</c:v>
                </c:pt>
                <c:pt idx="21">
                  <c:v>66251</c:v>
                </c:pt>
                <c:pt idx="22">
                  <c:v>64047</c:v>
                </c:pt>
                <c:pt idx="23">
                  <c:v>66627</c:v>
                </c:pt>
                <c:pt idx="24">
                  <c:v>60599</c:v>
                </c:pt>
                <c:pt idx="25">
                  <c:v>69514</c:v>
                </c:pt>
                <c:pt idx="26">
                  <c:v>62467</c:v>
                </c:pt>
                <c:pt idx="27">
                  <c:v>66529</c:v>
                </c:pt>
                <c:pt idx="28">
                  <c:v>65468</c:v>
                </c:pt>
                <c:pt idx="29">
                  <c:v>68030</c:v>
                </c:pt>
                <c:pt idx="30">
                  <c:v>65353</c:v>
                </c:pt>
                <c:pt idx="31">
                  <c:v>62408</c:v>
                </c:pt>
                <c:pt idx="32">
                  <c:v>73567</c:v>
                </c:pt>
                <c:pt idx="33">
                  <c:v>71609</c:v>
                </c:pt>
                <c:pt idx="34">
                  <c:v>65809</c:v>
                </c:pt>
                <c:pt idx="35" formatCode="General">
                  <c:v>65938</c:v>
                </c:pt>
                <c:pt idx="36" formatCode="General">
                  <c:v>62292</c:v>
                </c:pt>
                <c:pt idx="37" formatCode="General">
                  <c:v>71136</c:v>
                </c:pt>
                <c:pt idx="38" formatCode="General">
                  <c:v>64634</c:v>
                </c:pt>
                <c:pt idx="39" formatCode="General">
                  <c:v>65491</c:v>
                </c:pt>
                <c:pt idx="40" formatCode="General">
                  <c:v>64363</c:v>
                </c:pt>
                <c:pt idx="41" formatCode="General">
                  <c:v>67038</c:v>
                </c:pt>
                <c:pt idx="42" formatCode="General">
                  <c:v>62339</c:v>
                </c:pt>
                <c:pt idx="43" formatCode="General">
                  <c:v>65388</c:v>
                </c:pt>
                <c:pt idx="44" formatCode="General">
                  <c:v>60050</c:v>
                </c:pt>
                <c:pt idx="45" formatCode="_(* #,##0_);_(* \(#,##0\);_(* &quot;-&quot;??_);_(@_)">
                  <c:v>42807</c:v>
                </c:pt>
                <c:pt idx="46" formatCode="General">
                  <c:v>119823</c:v>
                </c:pt>
                <c:pt idx="47" formatCode="General">
                  <c:v>69749</c:v>
                </c:pt>
              </c:numCache>
            </c:numRef>
          </c:val>
          <c:smooth val="0"/>
          <c:extLst>
            <c:ext xmlns:c16="http://schemas.microsoft.com/office/drawing/2014/chart" uri="{C3380CC4-5D6E-409C-BE32-E72D297353CC}">
              <c16:uniqueId val="{00000001-76F7-4616-B42B-F8B3DA5484A1}"/>
            </c:ext>
          </c:extLst>
        </c:ser>
        <c:ser>
          <c:idx val="1"/>
          <c:order val="1"/>
          <c:tx>
            <c:strRef>
              <c:f>'Chart 1-3'!$R$4</c:f>
              <c:strCache>
                <c:ptCount val="1"/>
                <c:pt idx="0">
                  <c:v>Contractions</c:v>
                </c:pt>
              </c:strCache>
            </c:strRef>
          </c:tx>
          <c:spPr>
            <a:ln>
              <a:solidFill>
                <a:srgbClr val="FF0000"/>
              </a:solidFill>
              <a:prstDash val="solid"/>
            </a:ln>
          </c:spPr>
          <c:marker>
            <c:symbol val="none"/>
          </c:marker>
          <c:cat>
            <c:multiLvlStrRef>
              <c:f>'Chart 1-3'!$H$72:$I$119</c:f>
              <c:multiLvlStrCache>
                <c:ptCount val="4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lvl>
              </c:multiLvlStrCache>
            </c:multiLvlStrRef>
          </c:cat>
          <c:val>
            <c:numRef>
              <c:f>'Chart 1-3'!$R$72:$R$119</c:f>
              <c:numCache>
                <c:formatCode>#,##0</c:formatCode>
                <c:ptCount val="48"/>
                <c:pt idx="0">
                  <c:v>82797</c:v>
                </c:pt>
                <c:pt idx="1">
                  <c:v>76813</c:v>
                </c:pt>
                <c:pt idx="2">
                  <c:v>68609</c:v>
                </c:pt>
                <c:pt idx="3">
                  <c:v>68338</c:v>
                </c:pt>
                <c:pt idx="4">
                  <c:v>65923</c:v>
                </c:pt>
                <c:pt idx="5">
                  <c:v>61981</c:v>
                </c:pt>
                <c:pt idx="6">
                  <c:v>60824</c:v>
                </c:pt>
                <c:pt idx="7">
                  <c:v>62571</c:v>
                </c:pt>
                <c:pt idx="8">
                  <c:v>60184</c:v>
                </c:pt>
                <c:pt idx="9">
                  <c:v>60108</c:v>
                </c:pt>
                <c:pt idx="10">
                  <c:v>61849</c:v>
                </c:pt>
                <c:pt idx="11">
                  <c:v>62759</c:v>
                </c:pt>
                <c:pt idx="12">
                  <c:v>59133</c:v>
                </c:pt>
                <c:pt idx="13">
                  <c:v>60503</c:v>
                </c:pt>
                <c:pt idx="14">
                  <c:v>65102</c:v>
                </c:pt>
                <c:pt idx="15">
                  <c:v>62592</c:v>
                </c:pt>
                <c:pt idx="16">
                  <c:v>62559</c:v>
                </c:pt>
                <c:pt idx="17">
                  <c:v>59803</c:v>
                </c:pt>
                <c:pt idx="18">
                  <c:v>66542</c:v>
                </c:pt>
                <c:pt idx="19">
                  <c:v>66379</c:v>
                </c:pt>
                <c:pt idx="20">
                  <c:v>62037</c:v>
                </c:pt>
                <c:pt idx="21">
                  <c:v>61329</c:v>
                </c:pt>
                <c:pt idx="22">
                  <c:v>63967</c:v>
                </c:pt>
                <c:pt idx="23">
                  <c:v>64606</c:v>
                </c:pt>
                <c:pt idx="24">
                  <c:v>66297</c:v>
                </c:pt>
                <c:pt idx="25">
                  <c:v>62360</c:v>
                </c:pt>
                <c:pt idx="26">
                  <c:v>71762</c:v>
                </c:pt>
                <c:pt idx="27">
                  <c:v>62215</c:v>
                </c:pt>
                <c:pt idx="28">
                  <c:v>64484</c:v>
                </c:pt>
                <c:pt idx="29">
                  <c:v>66925</c:v>
                </c:pt>
                <c:pt idx="30">
                  <c:v>66172</c:v>
                </c:pt>
                <c:pt idx="31">
                  <c:v>66773</c:v>
                </c:pt>
                <c:pt idx="32">
                  <c:v>68615</c:v>
                </c:pt>
                <c:pt idx="33">
                  <c:v>65240</c:v>
                </c:pt>
                <c:pt idx="34">
                  <c:v>71155</c:v>
                </c:pt>
                <c:pt idx="35" formatCode="General">
                  <c:v>65063</c:v>
                </c:pt>
                <c:pt idx="36" formatCode="General">
                  <c:v>67341</c:v>
                </c:pt>
                <c:pt idx="37" formatCode="General">
                  <c:v>63863</c:v>
                </c:pt>
                <c:pt idx="38" formatCode="General">
                  <c:v>69973</c:v>
                </c:pt>
                <c:pt idx="39" formatCode="General">
                  <c:v>62603</c:v>
                </c:pt>
                <c:pt idx="40" formatCode="General">
                  <c:v>64628</c:v>
                </c:pt>
                <c:pt idx="41" formatCode="General">
                  <c:v>68380</c:v>
                </c:pt>
                <c:pt idx="42" formatCode="General">
                  <c:v>68484</c:v>
                </c:pt>
                <c:pt idx="43" formatCode="General">
                  <c:v>63888</c:v>
                </c:pt>
                <c:pt idx="44" formatCode="General">
                  <c:v>68881</c:v>
                </c:pt>
                <c:pt idx="45" formatCode="_(* #,##0_);_(* \(#,##0\);_(* &quot;-&quot;??_);_(@_)">
                  <c:v>227752</c:v>
                </c:pt>
                <c:pt idx="46" formatCode="General">
                  <c:v>50430</c:v>
                </c:pt>
                <c:pt idx="47" formatCode="General">
                  <c:v>61243</c:v>
                </c:pt>
              </c:numCache>
            </c:numRef>
          </c:val>
          <c:smooth val="0"/>
          <c:extLst>
            <c:ext xmlns:c16="http://schemas.microsoft.com/office/drawing/2014/chart" uri="{C3380CC4-5D6E-409C-BE32-E72D297353CC}">
              <c16:uniqueId val="{00000002-76F7-4616-B42B-F8B3DA5484A1}"/>
            </c:ext>
          </c:extLst>
        </c:ser>
        <c:dLbls>
          <c:showLegendKey val="0"/>
          <c:showVal val="0"/>
          <c:showCatName val="0"/>
          <c:showSerName val="0"/>
          <c:showPercent val="0"/>
          <c:showBubbleSize val="0"/>
        </c:dLbls>
        <c:marker val="1"/>
        <c:smooth val="0"/>
        <c:axId val="102535552"/>
        <c:axId val="102537088"/>
      </c:lineChart>
      <c:catAx>
        <c:axId val="102535552"/>
        <c:scaling>
          <c:orientation val="minMax"/>
        </c:scaling>
        <c:delete val="0"/>
        <c:axPos val="b"/>
        <c:numFmt formatCode="General" sourceLinked="1"/>
        <c:majorTickMark val="out"/>
        <c:minorTickMark val="none"/>
        <c:tickLblPos val="nextTo"/>
        <c:txPr>
          <a:bodyPr/>
          <a:lstStyle/>
          <a:p>
            <a:pPr>
              <a:defRPr sz="900"/>
            </a:pPr>
            <a:endParaRPr lang="en-US"/>
          </a:p>
        </c:txPr>
        <c:crossAx val="102537088"/>
        <c:crosses val="autoZero"/>
        <c:auto val="1"/>
        <c:lblAlgn val="ctr"/>
        <c:lblOffset val="100"/>
        <c:tickLblSkip val="1"/>
        <c:noMultiLvlLbl val="0"/>
      </c:catAx>
      <c:valAx>
        <c:axId val="102537088"/>
        <c:scaling>
          <c:orientation val="minMax"/>
          <c:max val="250000"/>
        </c:scaling>
        <c:delete val="0"/>
        <c:axPos val="l"/>
        <c:majorGridlines/>
        <c:numFmt formatCode="#,##0" sourceLinked="0"/>
        <c:majorTickMark val="out"/>
        <c:minorTickMark val="none"/>
        <c:tickLblPos val="nextTo"/>
        <c:crossAx val="102535552"/>
        <c:crosses val="autoZero"/>
        <c:crossBetween val="between"/>
      </c:valAx>
      <c:spPr>
        <a:solidFill>
          <a:srgbClr val="FFFFFF"/>
        </a:solidFill>
      </c:spPr>
    </c:plotArea>
    <c:legend>
      <c:legendPos val="r"/>
      <c:legendEntry>
        <c:idx val="0"/>
        <c:delete val="1"/>
      </c:legendEntry>
      <c:layout>
        <c:manualLayout>
          <c:xMode val="edge"/>
          <c:yMode val="edge"/>
          <c:x val="0.6173658331831684"/>
          <c:y val="0.35798251411849674"/>
          <c:w val="0.25292069011934781"/>
          <c:h val="0.12845600012792596"/>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3. Components of CT private sector gross job gains and gross  job losses at opening and closing establishments, seasonally adjusted. </a:t>
            </a:r>
            <a:br>
              <a:rPr lang="en-US" sz="950" baseline="0"/>
            </a:br>
            <a:r>
              <a:rPr lang="en-US" sz="950" baseline="0"/>
              <a:t>2009-2020</a:t>
            </a:r>
          </a:p>
          <a:p>
            <a:pPr>
              <a:defRPr/>
            </a:pPr>
            <a:endParaRPr lang="en-US"/>
          </a:p>
        </c:rich>
      </c:tx>
      <c:layout>
        <c:manualLayout>
          <c:xMode val="edge"/>
          <c:yMode val="edge"/>
          <c:x val="9.8304505078922882E-2"/>
          <c:y val="0"/>
        </c:manualLayout>
      </c:layout>
      <c:overlay val="0"/>
    </c:title>
    <c:autoTitleDeleted val="0"/>
    <c:plotArea>
      <c:layout>
        <c:manualLayout>
          <c:layoutTarget val="inner"/>
          <c:xMode val="edge"/>
          <c:yMode val="edge"/>
          <c:x val="0.13525240594925633"/>
          <c:y val="0.17818314377369496"/>
          <c:w val="0.82469754845538779"/>
          <c:h val="0.59106324077574812"/>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1-3'!$D$72:$D$119</c:f>
              <c:numCache>
                <c:formatCode>General</c:formatCode>
                <c:ptCount val="48"/>
                <c:pt idx="0">
                  <c:v>40000</c:v>
                </c:pt>
                <c:pt idx="1">
                  <c:v>40000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40000</c:v>
                </c:pt>
                <c:pt idx="45">
                  <c:v>40000</c:v>
                </c:pt>
                <c:pt idx="46">
                  <c:v>40000</c:v>
                </c:pt>
                <c:pt idx="47">
                  <c:v>40000</c:v>
                </c:pt>
              </c:numCache>
            </c:numRef>
          </c:val>
          <c:extLst>
            <c:ext xmlns:c16="http://schemas.microsoft.com/office/drawing/2014/chart" uri="{C3380CC4-5D6E-409C-BE32-E72D297353CC}">
              <c16:uniqueId val="{00000000-9433-4337-B60B-A8DCA6494D40}"/>
            </c:ext>
          </c:extLst>
        </c:ser>
        <c:dLbls>
          <c:showLegendKey val="0"/>
          <c:showVal val="0"/>
          <c:showCatName val="0"/>
          <c:showSerName val="0"/>
          <c:showPercent val="0"/>
          <c:showBubbleSize val="0"/>
        </c:dLbls>
        <c:gapWidth val="0"/>
        <c:axId val="105158528"/>
        <c:axId val="105160064"/>
      </c:barChart>
      <c:lineChart>
        <c:grouping val="standard"/>
        <c:varyColors val="0"/>
        <c:ser>
          <c:idx val="0"/>
          <c:order val="0"/>
          <c:tx>
            <c:strRef>
              <c:f>'Chart 1-3'!$P$5</c:f>
              <c:strCache>
                <c:ptCount val="1"/>
                <c:pt idx="0">
                  <c:v>Opening</c:v>
                </c:pt>
              </c:strCache>
            </c:strRef>
          </c:tx>
          <c:spPr>
            <a:ln>
              <a:solidFill>
                <a:srgbClr val="00B050"/>
              </a:solidFill>
            </a:ln>
          </c:spPr>
          <c:marker>
            <c:symbol val="none"/>
          </c:marker>
          <c:cat>
            <c:multiLvlStrRef>
              <c:f>'Chart 1-3'!$H$72:$I$119</c:f>
              <c:multiLvlStrCache>
                <c:ptCount val="4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lvl>
              </c:multiLvlStrCache>
            </c:multiLvlStrRef>
          </c:cat>
          <c:val>
            <c:numRef>
              <c:f>'Chart 1-3'!$P$72:$P$119</c:f>
              <c:numCache>
                <c:formatCode>#,##0</c:formatCode>
                <c:ptCount val="48"/>
                <c:pt idx="0">
                  <c:v>9474</c:v>
                </c:pt>
                <c:pt idx="1">
                  <c:v>8529</c:v>
                </c:pt>
                <c:pt idx="2">
                  <c:v>9261</c:v>
                </c:pt>
                <c:pt idx="3">
                  <c:v>9241</c:v>
                </c:pt>
                <c:pt idx="4">
                  <c:v>8991</c:v>
                </c:pt>
                <c:pt idx="5">
                  <c:v>15063</c:v>
                </c:pt>
                <c:pt idx="6">
                  <c:v>9916</c:v>
                </c:pt>
                <c:pt idx="7">
                  <c:v>9856</c:v>
                </c:pt>
                <c:pt idx="8">
                  <c:v>8246</c:v>
                </c:pt>
                <c:pt idx="9">
                  <c:v>10841</c:v>
                </c:pt>
                <c:pt idx="10">
                  <c:v>10731</c:v>
                </c:pt>
                <c:pt idx="11">
                  <c:v>10103</c:v>
                </c:pt>
                <c:pt idx="12">
                  <c:v>10096</c:v>
                </c:pt>
                <c:pt idx="13">
                  <c:v>10307</c:v>
                </c:pt>
                <c:pt idx="14">
                  <c:v>10159</c:v>
                </c:pt>
                <c:pt idx="15">
                  <c:v>10331</c:v>
                </c:pt>
                <c:pt idx="16">
                  <c:v>9592</c:v>
                </c:pt>
                <c:pt idx="17">
                  <c:v>11354</c:v>
                </c:pt>
                <c:pt idx="18">
                  <c:v>10043</c:v>
                </c:pt>
                <c:pt idx="19">
                  <c:v>10437</c:v>
                </c:pt>
                <c:pt idx="20">
                  <c:v>8635</c:v>
                </c:pt>
                <c:pt idx="21">
                  <c:v>12655</c:v>
                </c:pt>
                <c:pt idx="22">
                  <c:v>10074</c:v>
                </c:pt>
                <c:pt idx="23">
                  <c:v>10096</c:v>
                </c:pt>
                <c:pt idx="24">
                  <c:v>8084</c:v>
                </c:pt>
                <c:pt idx="25">
                  <c:v>10722</c:v>
                </c:pt>
                <c:pt idx="26">
                  <c:v>10515</c:v>
                </c:pt>
                <c:pt idx="27">
                  <c:v>10931</c:v>
                </c:pt>
                <c:pt idx="28">
                  <c:v>9854</c:v>
                </c:pt>
                <c:pt idx="29">
                  <c:v>8862</c:v>
                </c:pt>
                <c:pt idx="30">
                  <c:v>9886</c:v>
                </c:pt>
                <c:pt idx="31">
                  <c:v>10464</c:v>
                </c:pt>
                <c:pt idx="32">
                  <c:v>10540</c:v>
                </c:pt>
                <c:pt idx="33">
                  <c:v>10391</c:v>
                </c:pt>
                <c:pt idx="34">
                  <c:v>10899</c:v>
                </c:pt>
                <c:pt idx="35" formatCode="General">
                  <c:v>10440</c:v>
                </c:pt>
                <c:pt idx="36" formatCode="General">
                  <c:v>11984</c:v>
                </c:pt>
                <c:pt idx="37" formatCode="General">
                  <c:v>11853</c:v>
                </c:pt>
                <c:pt idx="38" formatCode="General">
                  <c:v>11740</c:v>
                </c:pt>
                <c:pt idx="39" formatCode="General">
                  <c:v>10576</c:v>
                </c:pt>
                <c:pt idx="40" formatCode="General">
                  <c:v>10837</c:v>
                </c:pt>
                <c:pt idx="41" formatCode="General">
                  <c:v>15816</c:v>
                </c:pt>
                <c:pt idx="42" formatCode="General">
                  <c:v>16929</c:v>
                </c:pt>
                <c:pt idx="43" formatCode="General">
                  <c:v>12894</c:v>
                </c:pt>
                <c:pt idx="44" formatCode="General">
                  <c:v>14029</c:v>
                </c:pt>
                <c:pt idx="45" formatCode="_(* #,##0_);_(* \(#,##0\);_(* &quot;-&quot;??_);_(@_)">
                  <c:v>14813</c:v>
                </c:pt>
                <c:pt idx="46" formatCode="General">
                  <c:v>26042</c:v>
                </c:pt>
                <c:pt idx="47" formatCode="General">
                  <c:v>17319</c:v>
                </c:pt>
              </c:numCache>
            </c:numRef>
          </c:val>
          <c:smooth val="0"/>
          <c:extLst>
            <c:ext xmlns:c16="http://schemas.microsoft.com/office/drawing/2014/chart" uri="{C3380CC4-5D6E-409C-BE32-E72D297353CC}">
              <c16:uniqueId val="{00000001-9433-4337-B60B-A8DCA6494D40}"/>
            </c:ext>
          </c:extLst>
        </c:ser>
        <c:ser>
          <c:idx val="1"/>
          <c:order val="1"/>
          <c:tx>
            <c:strRef>
              <c:f>'Chart 1-3'!$S$5</c:f>
              <c:strCache>
                <c:ptCount val="1"/>
                <c:pt idx="0">
                  <c:v>Closing</c:v>
                </c:pt>
              </c:strCache>
            </c:strRef>
          </c:tx>
          <c:spPr>
            <a:ln>
              <a:solidFill>
                <a:srgbClr val="7030A0"/>
              </a:solidFill>
              <a:prstDash val="solid"/>
            </a:ln>
          </c:spPr>
          <c:marker>
            <c:symbol val="none"/>
          </c:marker>
          <c:cat>
            <c:multiLvlStrRef>
              <c:f>'Chart 1-3'!$H$72:$I$119</c:f>
              <c:multiLvlStrCache>
                <c:ptCount val="4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lvl>
              </c:multiLvlStrCache>
            </c:multiLvlStrRef>
          </c:cat>
          <c:val>
            <c:numRef>
              <c:f>'Chart 1-3'!$S$72:$S$119</c:f>
              <c:numCache>
                <c:formatCode>#,##0</c:formatCode>
                <c:ptCount val="48"/>
                <c:pt idx="0">
                  <c:v>10367</c:v>
                </c:pt>
                <c:pt idx="1">
                  <c:v>10621</c:v>
                </c:pt>
                <c:pt idx="2">
                  <c:v>10847</c:v>
                </c:pt>
                <c:pt idx="3">
                  <c:v>8046</c:v>
                </c:pt>
                <c:pt idx="4">
                  <c:v>16707</c:v>
                </c:pt>
                <c:pt idx="5">
                  <c:v>5793</c:v>
                </c:pt>
                <c:pt idx="6">
                  <c:v>5478</c:v>
                </c:pt>
                <c:pt idx="7">
                  <c:v>9005</c:v>
                </c:pt>
                <c:pt idx="8">
                  <c:v>9244</c:v>
                </c:pt>
                <c:pt idx="9">
                  <c:v>8414</c:v>
                </c:pt>
                <c:pt idx="10">
                  <c:v>7027</c:v>
                </c:pt>
                <c:pt idx="11">
                  <c:v>8437</c:v>
                </c:pt>
                <c:pt idx="12">
                  <c:v>9055</c:v>
                </c:pt>
                <c:pt idx="13">
                  <c:v>8993</c:v>
                </c:pt>
                <c:pt idx="14">
                  <c:v>9317</c:v>
                </c:pt>
                <c:pt idx="15">
                  <c:v>8530</c:v>
                </c:pt>
                <c:pt idx="16">
                  <c:v>9923</c:v>
                </c:pt>
                <c:pt idx="17">
                  <c:v>8180</c:v>
                </c:pt>
                <c:pt idx="18">
                  <c:v>8551</c:v>
                </c:pt>
                <c:pt idx="19">
                  <c:v>9571</c:v>
                </c:pt>
                <c:pt idx="20">
                  <c:v>8881</c:v>
                </c:pt>
                <c:pt idx="21">
                  <c:v>8061</c:v>
                </c:pt>
                <c:pt idx="22">
                  <c:v>9383</c:v>
                </c:pt>
                <c:pt idx="23">
                  <c:v>9303</c:v>
                </c:pt>
                <c:pt idx="24">
                  <c:v>6699</c:v>
                </c:pt>
                <c:pt idx="25">
                  <c:v>8862</c:v>
                </c:pt>
                <c:pt idx="26">
                  <c:v>11174</c:v>
                </c:pt>
                <c:pt idx="27">
                  <c:v>9049</c:v>
                </c:pt>
                <c:pt idx="28">
                  <c:v>7215</c:v>
                </c:pt>
                <c:pt idx="29">
                  <c:v>9937</c:v>
                </c:pt>
                <c:pt idx="30">
                  <c:v>9436</c:v>
                </c:pt>
                <c:pt idx="31">
                  <c:v>8830</c:v>
                </c:pt>
                <c:pt idx="32">
                  <c:v>8272</c:v>
                </c:pt>
                <c:pt idx="33">
                  <c:v>10310</c:v>
                </c:pt>
                <c:pt idx="34">
                  <c:v>11800</c:v>
                </c:pt>
                <c:pt idx="35" formatCode="General">
                  <c:v>10468</c:v>
                </c:pt>
                <c:pt idx="36" formatCode="General">
                  <c:v>9015</c:v>
                </c:pt>
                <c:pt idx="37" formatCode="General">
                  <c:v>9493</c:v>
                </c:pt>
                <c:pt idx="38" formatCode="General">
                  <c:v>11526</c:v>
                </c:pt>
                <c:pt idx="39" formatCode="General">
                  <c:v>9016</c:v>
                </c:pt>
                <c:pt idx="40" formatCode="General">
                  <c:v>17569</c:v>
                </c:pt>
                <c:pt idx="41" formatCode="General">
                  <c:v>14312</c:v>
                </c:pt>
                <c:pt idx="42" formatCode="General">
                  <c:v>13988</c:v>
                </c:pt>
                <c:pt idx="43" formatCode="General">
                  <c:v>16111</c:v>
                </c:pt>
                <c:pt idx="44" formatCode="General">
                  <c:v>15276</c:v>
                </c:pt>
                <c:pt idx="45" formatCode="_(* #,##0_);_(* \(#,##0\);_(* &quot;-&quot;??_);_(@_)">
                  <c:v>37941</c:v>
                </c:pt>
                <c:pt idx="46" formatCode="General">
                  <c:v>16036</c:v>
                </c:pt>
                <c:pt idx="47" formatCode="General">
                  <c:v>16128</c:v>
                </c:pt>
              </c:numCache>
            </c:numRef>
          </c:val>
          <c:smooth val="0"/>
          <c:extLst>
            <c:ext xmlns:c16="http://schemas.microsoft.com/office/drawing/2014/chart" uri="{C3380CC4-5D6E-409C-BE32-E72D297353CC}">
              <c16:uniqueId val="{00000002-9433-4337-B60B-A8DCA6494D40}"/>
            </c:ext>
          </c:extLst>
        </c:ser>
        <c:dLbls>
          <c:showLegendKey val="0"/>
          <c:showVal val="0"/>
          <c:showCatName val="0"/>
          <c:showSerName val="0"/>
          <c:showPercent val="0"/>
          <c:showBubbleSize val="0"/>
        </c:dLbls>
        <c:marker val="1"/>
        <c:smooth val="0"/>
        <c:axId val="105158528"/>
        <c:axId val="105160064"/>
      </c:lineChart>
      <c:catAx>
        <c:axId val="105158528"/>
        <c:scaling>
          <c:orientation val="minMax"/>
        </c:scaling>
        <c:delete val="0"/>
        <c:axPos val="b"/>
        <c:numFmt formatCode="General" sourceLinked="1"/>
        <c:majorTickMark val="out"/>
        <c:minorTickMark val="none"/>
        <c:tickLblPos val="nextTo"/>
        <c:txPr>
          <a:bodyPr rot="0" vert="horz"/>
          <a:lstStyle/>
          <a:p>
            <a:pPr>
              <a:defRPr sz="900"/>
            </a:pPr>
            <a:endParaRPr lang="en-US"/>
          </a:p>
        </c:txPr>
        <c:crossAx val="105160064"/>
        <c:crosses val="autoZero"/>
        <c:auto val="1"/>
        <c:lblAlgn val="ctr"/>
        <c:lblOffset val="100"/>
        <c:tickLblSkip val="1"/>
        <c:tickMarkSkip val="1"/>
        <c:noMultiLvlLbl val="0"/>
      </c:catAx>
      <c:valAx>
        <c:axId val="105160064"/>
        <c:scaling>
          <c:orientation val="minMax"/>
          <c:max val="40000"/>
        </c:scaling>
        <c:delete val="0"/>
        <c:axPos val="l"/>
        <c:majorGridlines/>
        <c:numFmt formatCode="#,##0" sourceLinked="0"/>
        <c:majorTickMark val="out"/>
        <c:minorTickMark val="none"/>
        <c:tickLblPos val="nextTo"/>
        <c:crossAx val="105158528"/>
        <c:crosses val="autoZero"/>
        <c:crossBetween val="between"/>
      </c:valAx>
      <c:spPr>
        <a:solidFill>
          <a:srgbClr val="FFFFFF"/>
        </a:solidFill>
      </c:spPr>
    </c:plotArea>
    <c:legend>
      <c:legendPos val="r"/>
      <c:legendEntry>
        <c:idx val="0"/>
        <c:delete val="1"/>
      </c:legendEntry>
      <c:layout>
        <c:manualLayout>
          <c:xMode val="edge"/>
          <c:yMode val="edge"/>
          <c:x val="0.63987561561142237"/>
          <c:y val="0.33806144172627545"/>
          <c:w val="0.242044338425289"/>
          <c:h val="0.13030580034864514"/>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t>Chart 4. Establishment Births, Deaths, and Net Change</a:t>
            </a:r>
            <a:br>
              <a:rPr lang="en-US" sz="900"/>
            </a:br>
            <a:r>
              <a:rPr lang="en-US" sz="900"/>
              <a:t>2009-2020</a:t>
            </a:r>
          </a:p>
        </c:rich>
      </c:tx>
      <c:overlay val="0"/>
    </c:title>
    <c:autoTitleDeleted val="0"/>
    <c:plotArea>
      <c:layout>
        <c:manualLayout>
          <c:layoutTarget val="inner"/>
          <c:xMode val="edge"/>
          <c:yMode val="edge"/>
          <c:x val="0.11410464994510235"/>
          <c:y val="0.15774314668999706"/>
          <c:w val="0.85573132642893157"/>
          <c:h val="0.56971092899101894"/>
        </c:manualLayout>
      </c:layout>
      <c:areaChart>
        <c:grouping val="standard"/>
        <c:varyColors val="0"/>
        <c:ser>
          <c:idx val="1"/>
          <c:order val="0"/>
          <c:tx>
            <c:v>Establishment Births</c:v>
          </c:tx>
          <c:spPr>
            <a:solidFill>
              <a:srgbClr val="61CD9A"/>
            </a:solidFill>
            <a:ln w="25400">
              <a:noFill/>
            </a:ln>
          </c:spPr>
          <c:cat>
            <c:multiLvlStrRef>
              <c:f>'Chart 4 Births_Deaths'!$T$76:$U$123</c:f>
              <c:multiLvlStrCache>
                <c:ptCount val="4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lvl>
              </c:multiLvlStrCache>
            </c:multiLvlStrRef>
          </c:cat>
          <c:val>
            <c:numRef>
              <c:f>'Chart 4 Births_Deaths'!$I$76:$I$123</c:f>
              <c:numCache>
                <c:formatCode>#,##0</c:formatCode>
                <c:ptCount val="48"/>
                <c:pt idx="0">
                  <c:v>1827</c:v>
                </c:pt>
                <c:pt idx="1">
                  <c:v>1717</c:v>
                </c:pt>
                <c:pt idx="2">
                  <c:v>1753</c:v>
                </c:pt>
                <c:pt idx="3">
                  <c:v>1769</c:v>
                </c:pt>
                <c:pt idx="4">
                  <c:v>1844</c:v>
                </c:pt>
                <c:pt idx="5">
                  <c:v>1765</c:v>
                </c:pt>
                <c:pt idx="6">
                  <c:v>1918</c:v>
                </c:pt>
                <c:pt idx="7">
                  <c:v>1965</c:v>
                </c:pt>
                <c:pt idx="8">
                  <c:v>2020</c:v>
                </c:pt>
                <c:pt idx="9">
                  <c:v>1970</c:v>
                </c:pt>
                <c:pt idx="10">
                  <c:v>1905</c:v>
                </c:pt>
                <c:pt idx="11">
                  <c:v>2018</c:v>
                </c:pt>
                <c:pt idx="12">
                  <c:v>2072</c:v>
                </c:pt>
                <c:pt idx="13">
                  <c:v>2265</c:v>
                </c:pt>
                <c:pt idx="14">
                  <c:v>2030</c:v>
                </c:pt>
                <c:pt idx="15">
                  <c:v>2047</c:v>
                </c:pt>
                <c:pt idx="16">
                  <c:v>2115</c:v>
                </c:pt>
                <c:pt idx="17">
                  <c:v>2021</c:v>
                </c:pt>
                <c:pt idx="18">
                  <c:v>2160</c:v>
                </c:pt>
                <c:pt idx="19">
                  <c:v>2000</c:v>
                </c:pt>
                <c:pt idx="20">
                  <c:v>2072</c:v>
                </c:pt>
                <c:pt idx="21">
                  <c:v>2029</c:v>
                </c:pt>
                <c:pt idx="22">
                  <c:v>2150</c:v>
                </c:pt>
                <c:pt idx="23">
                  <c:v>2059</c:v>
                </c:pt>
                <c:pt idx="24">
                  <c:v>1954</c:v>
                </c:pt>
                <c:pt idx="25">
                  <c:v>2284</c:v>
                </c:pt>
                <c:pt idx="26">
                  <c:v>2361</c:v>
                </c:pt>
                <c:pt idx="27">
                  <c:v>2148</c:v>
                </c:pt>
                <c:pt idx="28">
                  <c:v>2094</c:v>
                </c:pt>
                <c:pt idx="29">
                  <c:v>2137</c:v>
                </c:pt>
                <c:pt idx="30">
                  <c:v>2099</c:v>
                </c:pt>
                <c:pt idx="31">
                  <c:v>1998</c:v>
                </c:pt>
                <c:pt idx="32">
                  <c:v>2267</c:v>
                </c:pt>
                <c:pt idx="33">
                  <c:v>2197</c:v>
                </c:pt>
                <c:pt idx="34">
                  <c:v>2246</c:v>
                </c:pt>
                <c:pt idx="35">
                  <c:v>2252</c:v>
                </c:pt>
                <c:pt idx="36">
                  <c:v>2249</c:v>
                </c:pt>
                <c:pt idx="37">
                  <c:v>2298</c:v>
                </c:pt>
                <c:pt idx="38">
                  <c:v>2352</c:v>
                </c:pt>
                <c:pt idx="39">
                  <c:v>2231</c:v>
                </c:pt>
                <c:pt idx="40">
                  <c:v>2446</c:v>
                </c:pt>
                <c:pt idx="41">
                  <c:v>2225</c:v>
                </c:pt>
                <c:pt idx="42">
                  <c:v>2374</c:v>
                </c:pt>
                <c:pt idx="43">
                  <c:v>2164</c:v>
                </c:pt>
                <c:pt idx="44">
                  <c:v>2317</c:v>
                </c:pt>
                <c:pt idx="45">
                  <c:v>2320</c:v>
                </c:pt>
                <c:pt idx="46" formatCode="General">
                  <c:v>3323</c:v>
                </c:pt>
                <c:pt idx="47">
                  <c:v>3680</c:v>
                </c:pt>
              </c:numCache>
            </c:numRef>
          </c:val>
          <c:extLst>
            <c:ext xmlns:c16="http://schemas.microsoft.com/office/drawing/2014/chart" uri="{C3380CC4-5D6E-409C-BE32-E72D297353CC}">
              <c16:uniqueId val="{00000000-7CA5-4833-B47F-9E236A250007}"/>
            </c:ext>
          </c:extLst>
        </c:ser>
        <c:ser>
          <c:idx val="2"/>
          <c:order val="1"/>
          <c:tx>
            <c:strRef>
              <c:f>'Chart 4 Births_Deaths'!$S$1</c:f>
              <c:strCache>
                <c:ptCount val="1"/>
                <c:pt idx="0">
                  <c:v>Establishment Deaths</c:v>
                </c:pt>
              </c:strCache>
            </c:strRef>
          </c:tx>
          <c:spPr>
            <a:solidFill>
              <a:schemeClr val="accent1">
                <a:lumMod val="60000"/>
                <a:lumOff val="40000"/>
              </a:schemeClr>
            </a:solidFill>
            <a:ln w="25400">
              <a:noFill/>
            </a:ln>
          </c:spPr>
          <c:cat>
            <c:multiLvlStrRef>
              <c:f>'Chart 4 Births_Deaths'!$T$76:$U$123</c:f>
              <c:multiLvlStrCache>
                <c:ptCount val="4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lvl>
              </c:multiLvlStrCache>
            </c:multiLvlStrRef>
          </c:cat>
          <c:val>
            <c:numRef>
              <c:f>'Chart 4 Births_Deaths'!$S$76:$S$120</c:f>
              <c:numCache>
                <c:formatCode>General</c:formatCode>
                <c:ptCount val="45"/>
                <c:pt idx="0">
                  <c:v>-2522</c:v>
                </c:pt>
                <c:pt idx="1">
                  <c:v>-2656</c:v>
                </c:pt>
                <c:pt idx="2">
                  <c:v>-2471</c:v>
                </c:pt>
                <c:pt idx="3">
                  <c:v>-2213</c:v>
                </c:pt>
                <c:pt idx="4">
                  <c:v>-3628</c:v>
                </c:pt>
                <c:pt idx="5">
                  <c:v>-893</c:v>
                </c:pt>
                <c:pt idx="6">
                  <c:v>-1015</c:v>
                </c:pt>
                <c:pt idx="7">
                  <c:v>-2319</c:v>
                </c:pt>
                <c:pt idx="8">
                  <c:v>-2108</c:v>
                </c:pt>
                <c:pt idx="9">
                  <c:v>-1701</c:v>
                </c:pt>
                <c:pt idx="10">
                  <c:v>-1865</c:v>
                </c:pt>
                <c:pt idx="11">
                  <c:v>-1986</c:v>
                </c:pt>
                <c:pt idx="12">
                  <c:v>-1849</c:v>
                </c:pt>
                <c:pt idx="13">
                  <c:v>-2098</c:v>
                </c:pt>
                <c:pt idx="14">
                  <c:v>-2040</c:v>
                </c:pt>
                <c:pt idx="15">
                  <c:v>-2008</c:v>
                </c:pt>
                <c:pt idx="16">
                  <c:v>-2275</c:v>
                </c:pt>
                <c:pt idx="17">
                  <c:v>-1739</c:v>
                </c:pt>
                <c:pt idx="18">
                  <c:v>-1932</c:v>
                </c:pt>
                <c:pt idx="19">
                  <c:v>-2136</c:v>
                </c:pt>
                <c:pt idx="20">
                  <c:v>-2013</c:v>
                </c:pt>
                <c:pt idx="21">
                  <c:v>-1737</c:v>
                </c:pt>
                <c:pt idx="22">
                  <c:v>-2126</c:v>
                </c:pt>
                <c:pt idx="23">
                  <c:v>-2297</c:v>
                </c:pt>
                <c:pt idx="24">
                  <c:v>-1460</c:v>
                </c:pt>
                <c:pt idx="25">
                  <c:v>-2392</c:v>
                </c:pt>
                <c:pt idx="26">
                  <c:v>-2165</c:v>
                </c:pt>
                <c:pt idx="27">
                  <c:v>-2325</c:v>
                </c:pt>
                <c:pt idx="28">
                  <c:v>-1606</c:v>
                </c:pt>
                <c:pt idx="29">
                  <c:v>-2391</c:v>
                </c:pt>
                <c:pt idx="30">
                  <c:v>-2202</c:v>
                </c:pt>
                <c:pt idx="31">
                  <c:v>-2299</c:v>
                </c:pt>
                <c:pt idx="32">
                  <c:v>-1536</c:v>
                </c:pt>
                <c:pt idx="33">
                  <c:v>-2389</c:v>
                </c:pt>
                <c:pt idx="34">
                  <c:v>-2473</c:v>
                </c:pt>
                <c:pt idx="35">
                  <c:v>-2564</c:v>
                </c:pt>
                <c:pt idx="36">
                  <c:v>-1687</c:v>
                </c:pt>
                <c:pt idx="37">
                  <c:v>-2311</c:v>
                </c:pt>
                <c:pt idx="38">
                  <c:v>-2486</c:v>
                </c:pt>
                <c:pt idx="39">
                  <c:v>-2200</c:v>
                </c:pt>
                <c:pt idx="40">
                  <c:v>-4457</c:v>
                </c:pt>
                <c:pt idx="41">
                  <c:v>-2764</c:v>
                </c:pt>
                <c:pt idx="42">
                  <c:v>-2290</c:v>
                </c:pt>
                <c:pt idx="43">
                  <c:v>-2321</c:v>
                </c:pt>
                <c:pt idx="44">
                  <c:v>-2574</c:v>
                </c:pt>
              </c:numCache>
            </c:numRef>
          </c:val>
          <c:extLst>
            <c:ext xmlns:c16="http://schemas.microsoft.com/office/drawing/2014/chart" uri="{C3380CC4-5D6E-409C-BE32-E72D297353CC}">
              <c16:uniqueId val="{00000001-7CA5-4833-B47F-9E236A250007}"/>
            </c:ext>
          </c:extLst>
        </c:ser>
        <c:dLbls>
          <c:showLegendKey val="0"/>
          <c:showVal val="0"/>
          <c:showCatName val="0"/>
          <c:showSerName val="0"/>
          <c:showPercent val="0"/>
          <c:showBubbleSize val="0"/>
        </c:dLbls>
        <c:axId val="104516224"/>
        <c:axId val="101986688"/>
      </c:areaChart>
      <c:lineChart>
        <c:grouping val="standard"/>
        <c:varyColors val="0"/>
        <c:ser>
          <c:idx val="0"/>
          <c:order val="2"/>
          <c:tx>
            <c:strRef>
              <c:f>'Chart 4 Births_Deaths'!$M$1</c:f>
              <c:strCache>
                <c:ptCount val="1"/>
                <c:pt idx="0">
                  <c:v>Net Change</c:v>
                </c:pt>
              </c:strCache>
            </c:strRef>
          </c:tx>
          <c:spPr>
            <a:ln>
              <a:solidFill>
                <a:schemeClr val="tx2"/>
              </a:solidFill>
            </a:ln>
          </c:spPr>
          <c:marker>
            <c:symbol val="none"/>
          </c:marker>
          <c:dPt>
            <c:idx val="0"/>
            <c:bubble3D val="0"/>
            <c:extLst>
              <c:ext xmlns:c16="http://schemas.microsoft.com/office/drawing/2014/chart" uri="{C3380CC4-5D6E-409C-BE32-E72D297353CC}">
                <c16:uniqueId val="{00000002-7CA5-4833-B47F-9E236A250007}"/>
              </c:ext>
            </c:extLst>
          </c:dPt>
          <c:dPt>
            <c:idx val="1"/>
            <c:bubble3D val="0"/>
            <c:extLst>
              <c:ext xmlns:c16="http://schemas.microsoft.com/office/drawing/2014/chart" uri="{C3380CC4-5D6E-409C-BE32-E72D297353CC}">
                <c16:uniqueId val="{00000003-7CA5-4833-B47F-9E236A250007}"/>
              </c:ext>
            </c:extLst>
          </c:dPt>
          <c:dPt>
            <c:idx val="2"/>
            <c:bubble3D val="0"/>
            <c:extLst>
              <c:ext xmlns:c16="http://schemas.microsoft.com/office/drawing/2014/chart" uri="{C3380CC4-5D6E-409C-BE32-E72D297353CC}">
                <c16:uniqueId val="{00000004-7CA5-4833-B47F-9E236A250007}"/>
              </c:ext>
            </c:extLst>
          </c:dPt>
          <c:dPt>
            <c:idx val="39"/>
            <c:bubble3D val="0"/>
            <c:extLst>
              <c:ext xmlns:c16="http://schemas.microsoft.com/office/drawing/2014/chart" uri="{C3380CC4-5D6E-409C-BE32-E72D297353CC}">
                <c16:uniqueId val="{00000005-7CA5-4833-B47F-9E236A250007}"/>
              </c:ext>
            </c:extLst>
          </c:dPt>
          <c:dPt>
            <c:idx val="40"/>
            <c:bubble3D val="0"/>
            <c:extLst>
              <c:ext xmlns:c16="http://schemas.microsoft.com/office/drawing/2014/chart" uri="{C3380CC4-5D6E-409C-BE32-E72D297353CC}">
                <c16:uniqueId val="{00000006-7CA5-4833-B47F-9E236A250007}"/>
              </c:ext>
            </c:extLst>
          </c:dPt>
          <c:dPt>
            <c:idx val="87"/>
            <c:bubble3D val="0"/>
            <c:extLst>
              <c:ext xmlns:c16="http://schemas.microsoft.com/office/drawing/2014/chart" uri="{C3380CC4-5D6E-409C-BE32-E72D297353CC}">
                <c16:uniqueId val="{00000007-7CA5-4833-B47F-9E236A250007}"/>
              </c:ext>
            </c:extLst>
          </c:dPt>
          <c:dPt>
            <c:idx val="88"/>
            <c:bubble3D val="0"/>
            <c:extLst>
              <c:ext xmlns:c16="http://schemas.microsoft.com/office/drawing/2014/chart" uri="{C3380CC4-5D6E-409C-BE32-E72D297353CC}">
                <c16:uniqueId val="{00000008-7CA5-4833-B47F-9E236A250007}"/>
              </c:ext>
            </c:extLst>
          </c:dPt>
          <c:cat>
            <c:multiLvlStrRef>
              <c:f>'Chart 4 Births_Deaths'!$T$76:$U$123</c:f>
              <c:multiLvlStrCache>
                <c:ptCount val="4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lvl>
              </c:multiLvlStrCache>
            </c:multiLvlStrRef>
          </c:cat>
          <c:val>
            <c:numRef>
              <c:f>'Chart 4 Births_Deaths'!$M$76:$M$120</c:f>
              <c:numCache>
                <c:formatCode>#,##0;[Red]#,##0</c:formatCode>
                <c:ptCount val="45"/>
                <c:pt idx="0">
                  <c:v>-695</c:v>
                </c:pt>
                <c:pt idx="1">
                  <c:v>-939</c:v>
                </c:pt>
                <c:pt idx="2">
                  <c:v>-718</c:v>
                </c:pt>
                <c:pt idx="3">
                  <c:v>-444</c:v>
                </c:pt>
                <c:pt idx="4">
                  <c:v>-1784</c:v>
                </c:pt>
                <c:pt idx="5">
                  <c:v>872</c:v>
                </c:pt>
                <c:pt idx="6">
                  <c:v>903</c:v>
                </c:pt>
                <c:pt idx="7">
                  <c:v>-354</c:v>
                </c:pt>
                <c:pt idx="8">
                  <c:v>-88</c:v>
                </c:pt>
                <c:pt idx="9">
                  <c:v>269</c:v>
                </c:pt>
                <c:pt idx="10">
                  <c:v>40</c:v>
                </c:pt>
                <c:pt idx="11">
                  <c:v>32</c:v>
                </c:pt>
                <c:pt idx="12">
                  <c:v>223</c:v>
                </c:pt>
                <c:pt idx="13">
                  <c:v>167</c:v>
                </c:pt>
                <c:pt idx="14">
                  <c:v>-10</c:v>
                </c:pt>
                <c:pt idx="15">
                  <c:v>39</c:v>
                </c:pt>
                <c:pt idx="16">
                  <c:v>-160</c:v>
                </c:pt>
                <c:pt idx="17">
                  <c:v>282</c:v>
                </c:pt>
                <c:pt idx="18">
                  <c:v>228</c:v>
                </c:pt>
                <c:pt idx="19">
                  <c:v>-136</c:v>
                </c:pt>
                <c:pt idx="20">
                  <c:v>59</c:v>
                </c:pt>
                <c:pt idx="21">
                  <c:v>292</c:v>
                </c:pt>
                <c:pt idx="22">
                  <c:v>24</c:v>
                </c:pt>
                <c:pt idx="23">
                  <c:v>-238</c:v>
                </c:pt>
                <c:pt idx="24">
                  <c:v>494</c:v>
                </c:pt>
                <c:pt idx="25">
                  <c:v>-108</c:v>
                </c:pt>
                <c:pt idx="26">
                  <c:v>196</c:v>
                </c:pt>
                <c:pt idx="27">
                  <c:v>-177</c:v>
                </c:pt>
                <c:pt idx="28">
                  <c:v>488</c:v>
                </c:pt>
                <c:pt idx="29">
                  <c:v>-254</c:v>
                </c:pt>
                <c:pt idx="30">
                  <c:v>-103</c:v>
                </c:pt>
                <c:pt idx="31">
                  <c:v>-301</c:v>
                </c:pt>
                <c:pt idx="32">
                  <c:v>731</c:v>
                </c:pt>
                <c:pt idx="33">
                  <c:v>-192</c:v>
                </c:pt>
                <c:pt idx="34">
                  <c:v>-227</c:v>
                </c:pt>
                <c:pt idx="35">
                  <c:v>-312</c:v>
                </c:pt>
                <c:pt idx="36">
                  <c:v>562</c:v>
                </c:pt>
                <c:pt idx="37">
                  <c:v>-13</c:v>
                </c:pt>
                <c:pt idx="38">
                  <c:v>-134</c:v>
                </c:pt>
                <c:pt idx="39">
                  <c:v>31</c:v>
                </c:pt>
                <c:pt idx="40">
                  <c:v>-2011</c:v>
                </c:pt>
                <c:pt idx="41">
                  <c:v>-539</c:v>
                </c:pt>
                <c:pt idx="42">
                  <c:v>84</c:v>
                </c:pt>
                <c:pt idx="43">
                  <c:v>-157</c:v>
                </c:pt>
                <c:pt idx="44">
                  <c:v>-257</c:v>
                </c:pt>
              </c:numCache>
            </c:numRef>
          </c:val>
          <c:smooth val="0"/>
          <c:extLst>
            <c:ext xmlns:c16="http://schemas.microsoft.com/office/drawing/2014/chart" uri="{C3380CC4-5D6E-409C-BE32-E72D297353CC}">
              <c16:uniqueId val="{00000009-7CA5-4833-B47F-9E236A250007}"/>
            </c:ext>
          </c:extLst>
        </c:ser>
        <c:dLbls>
          <c:showLegendKey val="0"/>
          <c:showVal val="0"/>
          <c:showCatName val="0"/>
          <c:showSerName val="0"/>
          <c:showPercent val="0"/>
          <c:showBubbleSize val="0"/>
        </c:dLbls>
        <c:marker val="1"/>
        <c:smooth val="0"/>
        <c:axId val="104516224"/>
        <c:axId val="101986688"/>
      </c:lineChart>
      <c:catAx>
        <c:axId val="104516224"/>
        <c:scaling>
          <c:orientation val="minMax"/>
        </c:scaling>
        <c:delete val="0"/>
        <c:axPos val="b"/>
        <c:numFmt formatCode="#,##0.00" sourceLinked="0"/>
        <c:majorTickMark val="out"/>
        <c:minorTickMark val="none"/>
        <c:tickLblPos val="low"/>
        <c:crossAx val="101986688"/>
        <c:crosses val="autoZero"/>
        <c:auto val="1"/>
        <c:lblAlgn val="ctr"/>
        <c:lblOffset val="100"/>
        <c:noMultiLvlLbl val="0"/>
      </c:catAx>
      <c:valAx>
        <c:axId val="101986688"/>
        <c:scaling>
          <c:orientation val="minMax"/>
        </c:scaling>
        <c:delete val="0"/>
        <c:axPos val="l"/>
        <c:majorGridlines/>
        <c:numFmt formatCode="#,##0" sourceLinked="1"/>
        <c:majorTickMark val="out"/>
        <c:minorTickMark val="none"/>
        <c:tickLblPos val="nextTo"/>
        <c:spPr>
          <a:solidFill>
            <a:srgbClr val="FFFFFF"/>
          </a:solidFill>
        </c:spPr>
        <c:crossAx val="104516224"/>
        <c:crosses val="autoZero"/>
        <c:crossBetween val="between"/>
      </c:valAx>
      <c:spPr>
        <a:solidFill>
          <a:srgbClr val="FFFFFF"/>
        </a:solidFill>
      </c:spPr>
    </c:plotArea>
    <c:legend>
      <c:legendPos val="b"/>
      <c:layout>
        <c:manualLayout>
          <c:xMode val="edge"/>
          <c:yMode val="edge"/>
          <c:x val="9.3874889475951379E-2"/>
          <c:y val="0.88850503062117236"/>
          <c:w val="0.8999998920400013"/>
          <c:h val="8.3717191601049873E-2"/>
        </c:manualLayout>
      </c:layout>
      <c:overlay val="0"/>
    </c:legend>
    <c:plotVisOnly val="1"/>
    <c:dispBlanksAs val="zero"/>
    <c:showDLblsOverMax val="0"/>
  </c:chart>
  <c:spPr>
    <a:solidFill>
      <a:srgbClr val="FFFFFF"/>
    </a:solidFill>
    <a:ln>
      <a:solidFill>
        <a:schemeClr val="tx1">
          <a:lumMod val="50000"/>
          <a:lumOff val="5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5. Industry Gross Job Gains and Losses: </a:t>
            </a:r>
            <a:br>
              <a:rPr lang="en-US" sz="950" baseline="0"/>
            </a:br>
            <a:r>
              <a:rPr lang="en-US" sz="950" baseline="0"/>
              <a:t>Fourth Quarter 2020</a:t>
            </a:r>
            <a:endParaRPr lang="en-US" sz="950"/>
          </a:p>
        </c:rich>
      </c:tx>
      <c:layout>
        <c:manualLayout>
          <c:xMode val="edge"/>
          <c:yMode val="edge"/>
          <c:x val="0.35329994709565415"/>
          <c:y val="1.434113782134849E-2"/>
        </c:manualLayout>
      </c:layout>
      <c:overlay val="0"/>
    </c:title>
    <c:autoTitleDeleted val="0"/>
    <c:plotArea>
      <c:layout>
        <c:manualLayout>
          <c:layoutTarget val="inner"/>
          <c:xMode val="edge"/>
          <c:yMode val="edge"/>
          <c:x val="0.36020868354980273"/>
          <c:y val="0.14526459428990993"/>
          <c:w val="0.59165192766371333"/>
          <c:h val="0.61835984078149175"/>
        </c:manualLayout>
      </c:layout>
      <c:barChart>
        <c:barDir val="bar"/>
        <c:grouping val="clustered"/>
        <c:varyColors val="0"/>
        <c:ser>
          <c:idx val="1"/>
          <c:order val="0"/>
          <c:tx>
            <c:strRef>
              <c:f>'Chart 5 Gross Net'!$C$4</c:f>
              <c:strCache>
                <c:ptCount val="1"/>
                <c:pt idx="0">
                  <c:v>Gross job losses</c:v>
                </c:pt>
              </c:strCache>
            </c:strRef>
          </c:tx>
          <c:invertIfNegative val="0"/>
          <c:cat>
            <c:strRef>
              <c:f>'Chart 5 Gross Net'!$A$5:$A$14</c:f>
              <c:strCache>
                <c:ptCount val="10"/>
                <c:pt idx="0">
                  <c:v> wholesale trade</c:v>
                </c:pt>
                <c:pt idx="1">
                  <c:v> other services</c:v>
                </c:pt>
                <c:pt idx="2">
                  <c:v> financial activities</c:v>
                </c:pt>
                <c:pt idx="3">
                  <c:v> manufacturing</c:v>
                </c:pt>
                <c:pt idx="4">
                  <c:v>transportation &amp; warehousing</c:v>
                </c:pt>
                <c:pt idx="5">
                  <c:v> construction</c:v>
                </c:pt>
                <c:pt idx="6">
                  <c:v> retail trade</c:v>
                </c:pt>
                <c:pt idx="7">
                  <c:v> leisure &amp; hospitality</c:v>
                </c:pt>
                <c:pt idx="8">
                  <c:v> education &amp; health services</c:v>
                </c:pt>
                <c:pt idx="9">
                  <c:v> professional &amp; business services</c:v>
                </c:pt>
              </c:strCache>
            </c:strRef>
          </c:cat>
          <c:val>
            <c:numRef>
              <c:f>'Chart 5 Gross Net'!$C$5:$C$14</c:f>
              <c:numCache>
                <c:formatCode>#,##0</c:formatCode>
                <c:ptCount val="10"/>
                <c:pt idx="0">
                  <c:v>2494</c:v>
                </c:pt>
                <c:pt idx="1">
                  <c:v>3344</c:v>
                </c:pt>
                <c:pt idx="2">
                  <c:v>4907</c:v>
                </c:pt>
                <c:pt idx="3">
                  <c:v>5217</c:v>
                </c:pt>
                <c:pt idx="4">
                  <c:v>2077</c:v>
                </c:pt>
                <c:pt idx="5">
                  <c:v>5514</c:v>
                </c:pt>
                <c:pt idx="6">
                  <c:v>8867</c:v>
                </c:pt>
                <c:pt idx="7">
                  <c:v>16859</c:v>
                </c:pt>
                <c:pt idx="8">
                  <c:v>12725</c:v>
                </c:pt>
                <c:pt idx="9">
                  <c:v>12667</c:v>
                </c:pt>
              </c:numCache>
            </c:numRef>
          </c:val>
          <c:extLst>
            <c:ext xmlns:c16="http://schemas.microsoft.com/office/drawing/2014/chart" uri="{C3380CC4-5D6E-409C-BE32-E72D297353CC}">
              <c16:uniqueId val="{00000000-A806-41FE-A1FC-E9CCD938435F}"/>
            </c:ext>
          </c:extLst>
        </c:ser>
        <c:ser>
          <c:idx val="0"/>
          <c:order val="1"/>
          <c:tx>
            <c:strRef>
              <c:f>'Chart 5 Gross Net'!$B$4</c:f>
              <c:strCache>
                <c:ptCount val="1"/>
                <c:pt idx="0">
                  <c:v>Gross job gains</c:v>
                </c:pt>
              </c:strCache>
            </c:strRef>
          </c:tx>
          <c:invertIfNegative val="0"/>
          <c:cat>
            <c:strRef>
              <c:f>'Chart 5 Gross Net'!$A$5:$A$14</c:f>
              <c:strCache>
                <c:ptCount val="10"/>
                <c:pt idx="0">
                  <c:v> wholesale trade</c:v>
                </c:pt>
                <c:pt idx="1">
                  <c:v> other services</c:v>
                </c:pt>
                <c:pt idx="2">
                  <c:v> financial activities</c:v>
                </c:pt>
                <c:pt idx="3">
                  <c:v> manufacturing</c:v>
                </c:pt>
                <c:pt idx="4">
                  <c:v>transportation &amp; warehousing</c:v>
                </c:pt>
                <c:pt idx="5">
                  <c:v> construction</c:v>
                </c:pt>
                <c:pt idx="6">
                  <c:v> retail trade</c:v>
                </c:pt>
                <c:pt idx="7">
                  <c:v> leisure &amp; hospitality</c:v>
                </c:pt>
                <c:pt idx="8">
                  <c:v> education &amp; health services</c:v>
                </c:pt>
                <c:pt idx="9">
                  <c:v> professional &amp; business services</c:v>
                </c:pt>
              </c:strCache>
            </c:strRef>
          </c:cat>
          <c:val>
            <c:numRef>
              <c:f>'Chart 5 Gross Net'!$B$5:$B$14</c:f>
              <c:numCache>
                <c:formatCode>#,##0</c:formatCode>
                <c:ptCount val="10"/>
                <c:pt idx="0">
                  <c:v>2870</c:v>
                </c:pt>
                <c:pt idx="1">
                  <c:v>3460</c:v>
                </c:pt>
                <c:pt idx="2">
                  <c:v>4140</c:v>
                </c:pt>
                <c:pt idx="3">
                  <c:v>4288</c:v>
                </c:pt>
                <c:pt idx="4">
                  <c:v>5786</c:v>
                </c:pt>
                <c:pt idx="5">
                  <c:v>6320</c:v>
                </c:pt>
                <c:pt idx="6">
                  <c:v>11439</c:v>
                </c:pt>
                <c:pt idx="7">
                  <c:v>12695</c:v>
                </c:pt>
                <c:pt idx="8">
                  <c:v>15208</c:v>
                </c:pt>
                <c:pt idx="9">
                  <c:v>17203</c:v>
                </c:pt>
              </c:numCache>
            </c:numRef>
          </c:val>
          <c:extLst>
            <c:ext xmlns:c16="http://schemas.microsoft.com/office/drawing/2014/chart" uri="{C3380CC4-5D6E-409C-BE32-E72D297353CC}">
              <c16:uniqueId val="{00000001-A806-41FE-A1FC-E9CCD938435F}"/>
            </c:ext>
          </c:extLst>
        </c:ser>
        <c:dLbls>
          <c:showLegendKey val="0"/>
          <c:showVal val="0"/>
          <c:showCatName val="0"/>
          <c:showSerName val="0"/>
          <c:showPercent val="0"/>
          <c:showBubbleSize val="0"/>
        </c:dLbls>
        <c:gapWidth val="150"/>
        <c:axId val="104537472"/>
        <c:axId val="104563840"/>
      </c:barChart>
      <c:catAx>
        <c:axId val="104537472"/>
        <c:scaling>
          <c:orientation val="minMax"/>
        </c:scaling>
        <c:delete val="0"/>
        <c:axPos val="l"/>
        <c:numFmt formatCode="General" sourceLinked="1"/>
        <c:majorTickMark val="out"/>
        <c:minorTickMark val="none"/>
        <c:tickLblPos val="nextTo"/>
        <c:crossAx val="104563840"/>
        <c:crosses val="autoZero"/>
        <c:auto val="1"/>
        <c:lblAlgn val="ctr"/>
        <c:lblOffset val="100"/>
        <c:noMultiLvlLbl val="0"/>
      </c:catAx>
      <c:valAx>
        <c:axId val="104563840"/>
        <c:scaling>
          <c:orientation val="minMax"/>
        </c:scaling>
        <c:delete val="0"/>
        <c:axPos val="b"/>
        <c:majorGridlines/>
        <c:title>
          <c:tx>
            <c:rich>
              <a:bodyPr/>
              <a:lstStyle/>
              <a:p>
                <a:pPr>
                  <a:defRPr sz="950"/>
                </a:pPr>
                <a:r>
                  <a:rPr lang="en-US" sz="950"/>
                  <a:t>Employment</a:t>
                </a:r>
              </a:p>
            </c:rich>
          </c:tx>
          <c:layout>
            <c:manualLayout>
              <c:xMode val="edge"/>
              <c:yMode val="edge"/>
              <c:x val="0.53723140771787092"/>
              <c:y val="0.85931723766317292"/>
            </c:manualLayout>
          </c:layout>
          <c:overlay val="0"/>
        </c:title>
        <c:numFmt formatCode="#,##0" sourceLinked="0"/>
        <c:majorTickMark val="out"/>
        <c:minorTickMark val="none"/>
        <c:tickLblPos val="nextTo"/>
        <c:crossAx val="104537472"/>
        <c:crosses val="autoZero"/>
        <c:crossBetween val="between"/>
      </c:valAx>
      <c:spPr>
        <a:solidFill>
          <a:srgbClr val="FFFFFF"/>
        </a:solidFill>
      </c:spPr>
    </c:plotArea>
    <c:legend>
      <c:legendPos val="b"/>
      <c:layout>
        <c:manualLayout>
          <c:xMode val="edge"/>
          <c:yMode val="edge"/>
          <c:x val="0.35892588768869638"/>
          <c:y val="0.91244511654586224"/>
          <c:w val="0.47898074384537548"/>
          <c:h val="7.9836262189080673E-2"/>
        </c:manualLayout>
      </c:layout>
      <c:overlay val="0"/>
    </c:legend>
    <c:plotVisOnly val="1"/>
    <c:dispBlanksAs val="gap"/>
    <c:showDLblsOverMax val="0"/>
  </c:chart>
  <c:spPr>
    <a:solidFill>
      <a:srgbClr val="FFFFFF"/>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2021-07-29T18:32:00Z</cp:lastPrinted>
  <dcterms:created xsi:type="dcterms:W3CDTF">2021-07-29T19:34:00Z</dcterms:created>
  <dcterms:modified xsi:type="dcterms:W3CDTF">2021-07-29T19:34:00Z</dcterms:modified>
</cp:coreProperties>
</file>